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 xml:space="preserve">EDITAL </w:t>
      </w:r>
    </w:p>
    <w:p>
      <w:pPr>
        <w:pStyle w:val="Normal"/>
        <w:spacing w:lineRule="auto" w:line="276" w:before="57" w:after="57"/>
        <w:jc w:val="center"/>
        <w:rPr>
          <w:rFonts w:ascii="Verdana" w:hAnsi="Verdana" w:cs="Arial"/>
          <w:b/>
          <w:bCs/>
          <w:smallCaps/>
          <w:color w:val="000000"/>
          <w:sz w:val="26"/>
          <w:szCs w:val="26"/>
        </w:rPr>
      </w:pPr>
      <w:r>
        <w:rPr>
          <w:rFonts w:cs="Arial" w:ascii="Verdana" w:hAnsi="Verdana"/>
          <w:b/>
          <w:bCs/>
          <w:smallCaps/>
          <w:color w:val="000000"/>
          <w:sz w:val="26"/>
          <w:szCs w:val="26"/>
        </w:rPr>
        <w:t>PREGÃO ELETRÔNICO Nº 057/2025</w:t>
      </w:r>
    </w:p>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(Processo Administrativo n° 2625/2025 de 04/04/2025)</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23/09</w:t>
      </w:r>
      <w:r>
        <w:rPr>
          <w:rFonts w:cs="Arial" w:ascii="Verdana" w:hAnsi="Verdana"/>
          <w:b/>
          <w:bCs/>
          <w:color w:val="000000"/>
          <w:sz w:val="20"/>
          <w:szCs w:val="20"/>
        </w:rPr>
        <w:t>/2025.</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sz w:val="20"/>
          <w:szCs w:val="20"/>
        </w:rPr>
      </w:pPr>
      <w:r>
        <w:rPr>
          <w:rFonts w:cs="Arial" w:ascii="Verdana" w:hAnsi="Verdana"/>
          <w:b/>
          <w:bCs/>
          <w:sz w:val="20"/>
          <w:szCs w:val="20"/>
        </w:rPr>
        <w:t xml:space="preserve">CIDADES: </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 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1.1</w:t>
      </w:r>
      <w:r>
        <w:rPr>
          <w:rFonts w:cs="Arial" w:ascii="Verdana" w:hAnsi="Verdana"/>
          <w:color w:val="000000"/>
          <w:sz w:val="20"/>
          <w:szCs w:val="20"/>
        </w:rPr>
        <w:t xml:space="preserve"> O objeto da presente licitação é a </w:t>
      </w:r>
      <w:bookmarkStart w:id="1" w:name="__DdeLink__855_1388181997"/>
      <w:r>
        <w:rPr>
          <w:rFonts w:eastAsia="Arial" w:cs="Arial" w:ascii="Verdana" w:hAnsi="Verdana"/>
          <w:sz w:val="20"/>
          <w:szCs w:val="20"/>
        </w:rPr>
        <w:t xml:space="preserve">contratação de empresa para prestação de serviços de aferição e manutenção de tacógrafos, com fornecimento de peças (se necessário) para a atender aos veículos da frota Secretaria Municipal de </w:t>
      </w:r>
      <w:r>
        <w:rPr>
          <w:rFonts w:eastAsia="Arial" w:cs="Arial" w:ascii="Verdana" w:hAnsi="Verdana"/>
          <w:color w:val="000000"/>
          <w:sz w:val="20"/>
          <w:szCs w:val="20"/>
        </w:rPr>
        <w:t>Educação</w:t>
      </w:r>
      <w:bookmarkEnd w:id="1"/>
      <w:r>
        <w:rPr>
          <w:rFonts w:eastAsia="Batang;바탕" w:cs="Arial" w:ascii="Verdana" w:hAnsi="Verdana"/>
          <w:color w:val="000000"/>
          <w:kern w:val="2"/>
          <w:sz w:val="20"/>
          <w:szCs w:val="20"/>
          <w:lang w:eastAsia="en-US" w:bidi="pt-BR"/>
        </w:rPr>
        <w:t>, para obtenção de Certificado de Verificação, válido por 02 (dois) anos, 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b/>
          <w:bCs/>
          <w:iCs/>
          <w:color w:val="000000"/>
          <w:sz w:val="20"/>
          <w:szCs w:val="20"/>
        </w:rPr>
        <w:t>1.2</w:t>
      </w:r>
      <w:r>
        <w:rPr>
          <w:rFonts w:cs="Arial" w:ascii="Verdana" w:hAnsi="Verdana"/>
          <w:iCs/>
          <w:color w:val="000000"/>
          <w:sz w:val="20"/>
          <w:szCs w:val="20"/>
        </w:rPr>
        <w:t xml:space="preserve"> O critério de julgamento adotado será o menor preço global, observadas as exigências contidas neste Edital e seus Anexos quanto às especificações do objeto.</w:t>
      </w:r>
    </w:p>
    <w:p>
      <w:pPr>
        <w:pStyle w:val="Normal"/>
        <w:spacing w:lineRule="auto" w:line="276" w:before="57" w:after="57"/>
        <w:jc w:val="both"/>
        <w:rPr>
          <w:rFonts w:ascii="Verdana" w:hAnsi="Verdana"/>
          <w:sz w:val="20"/>
          <w:szCs w:val="20"/>
        </w:rPr>
      </w:pPr>
      <w:r>
        <w:rPr>
          <w:rFonts w:ascii="Verdana" w:hAnsi="Verdana"/>
          <w:sz w:val="20"/>
          <w:szCs w:val="20"/>
        </w:rPr>
      </w:r>
    </w:p>
    <w:p>
      <w:pPr>
        <w:pStyle w:val="Nivel01"/>
        <w:spacing w:lineRule="auto" w:line="276" w:before="57" w:after="57"/>
        <w:rPr/>
      </w:pPr>
      <w:r>
        <w:rPr>
          <w:rStyle w:val="Fontepargpadro1"/>
          <w:rFonts w:eastAsia="Batang;Batang" w:cs="Verdana" w:ascii="Verdana" w:hAnsi="Verdana"/>
          <w:iCs/>
        </w:rPr>
        <w:t xml:space="preserve">2 </w:t>
      </w:r>
      <w:r>
        <w:rPr>
          <w:rStyle w:val="Fontepargpadro1"/>
          <w:rFonts w:cs="Verdana" w:ascii="Verdana" w:hAnsi="Verdana"/>
        </w:rPr>
        <w:t>DOS RECURSOS ORÇAMENTÁRIOS</w:t>
      </w:r>
    </w:p>
    <w:p>
      <w:pPr>
        <w:pStyle w:val="Normal"/>
        <w:spacing w:lineRule="auto" w:line="276" w:before="57" w:after="57"/>
        <w:jc w:val="both"/>
        <w:rPr/>
      </w:pPr>
      <w:r>
        <w:rPr>
          <w:rStyle w:val="Fontepargpadro1"/>
          <w:rFonts w:cs="Verdana" w:ascii="Verdana" w:hAnsi="Verdana"/>
          <w:b/>
          <w:bCs/>
          <w:color w:val="000000"/>
          <w:sz w:val="20"/>
          <w:szCs w:val="20"/>
        </w:rPr>
        <w:t>2.1</w:t>
      </w:r>
      <w:r>
        <w:rPr>
          <w:rStyle w:val="Fontepargpadro1"/>
          <w:rFonts w:cs="Verdana" w:ascii="Verdana" w:hAnsi="Verdana"/>
          <w:color w:val="000000"/>
          <w:sz w:val="20"/>
          <w:szCs w:val="20"/>
        </w:rPr>
        <w:t xml:space="preserve"> Os recursos necessários para a aquisição do material correrão a conta de dotações próprias consignadas no Orçamento vigente, conforme discriminado abaixo:</w:t>
      </w:r>
    </w:p>
    <w:p>
      <w:pPr>
        <w:pStyle w:val="Normal"/>
        <w:spacing w:lineRule="auto" w:line="276" w:before="57" w:after="57"/>
        <w:jc w:val="both"/>
        <w:rPr>
          <w:rStyle w:val="Fontepargpadro1"/>
          <w:rFonts w:ascii="Verdana" w:hAnsi="Verdana" w:cs="Verdana"/>
          <w:iCs/>
          <w:color w:val="000000"/>
          <w:sz w:val="20"/>
          <w:szCs w:val="20"/>
        </w:rPr>
      </w:pPr>
      <w:r>
        <w:rPr>
          <w:rStyle w:val="Fontepargpadro1"/>
          <w:rFonts w:cs="Verdana" w:ascii="Verdana" w:hAnsi="Verdana"/>
          <w:b/>
          <w:bCs/>
          <w:iCs/>
          <w:color w:val="000000"/>
          <w:sz w:val="20"/>
          <w:szCs w:val="20"/>
        </w:rPr>
        <w:t>FICHA - FONTE</w:t>
      </w:r>
      <w:r>
        <w:rPr>
          <w:rStyle w:val="Fontepargpadro1"/>
          <w:rFonts w:cs="Verdana" w:ascii="Verdana" w:hAnsi="Verdana"/>
          <w:iCs/>
          <w:color w:val="000000"/>
          <w:sz w:val="20"/>
          <w:szCs w:val="20"/>
        </w:rPr>
        <w:t>: 00600-157600000001</w:t>
      </w:r>
      <w:r>
        <w:rPr>
          <w:rFonts w:ascii="Verdana" w:hAnsi="Verdana"/>
          <w:sz w:val="20"/>
        </w:rPr>
        <w:t>.</w:t>
      </w:r>
    </w:p>
    <w:p>
      <w:pPr>
        <w:pStyle w:val="Normal"/>
        <w:spacing w:lineRule="auto" w:line="276" w:before="57" w:after="57"/>
        <w:jc w:val="both"/>
        <w:rPr>
          <w:rStyle w:val="Fontepargpadro1"/>
          <w:rFonts w:ascii="Verdana" w:hAnsi="Verdana" w:cs="Verdana"/>
          <w:iCs/>
          <w:color w:val="000000"/>
          <w:sz w:val="20"/>
          <w:szCs w:val="20"/>
        </w:rPr>
      </w:pPr>
      <w:r>
        <w:rPr>
          <w:rStyle w:val="Fontepargpadro1"/>
          <w:rFonts w:cs="Verdana" w:ascii="Verdana" w:hAnsi="Verdana"/>
          <w:b/>
          <w:bCs/>
          <w:iCs/>
          <w:color w:val="000000"/>
          <w:sz w:val="20"/>
          <w:szCs w:val="20"/>
        </w:rPr>
        <w:t>FICHA - FONTE</w:t>
      </w:r>
      <w:r>
        <w:rPr>
          <w:rStyle w:val="Fontepargpadro1"/>
          <w:rFonts w:cs="Verdana" w:ascii="Verdana" w:hAnsi="Verdana"/>
          <w:iCs/>
          <w:color w:val="000000"/>
          <w:sz w:val="20"/>
          <w:szCs w:val="20"/>
        </w:rPr>
        <w:t>: 00601-157600000001</w:t>
      </w:r>
      <w:r>
        <w:rPr>
          <w:rFonts w:ascii="Verdana" w:hAnsi="Verdana"/>
          <w:sz w:val="20"/>
        </w:rPr>
        <w:t>.</w:t>
      </w:r>
    </w:p>
    <w:p>
      <w:pPr>
        <w:pStyle w:val="Normal"/>
        <w:spacing w:lineRule="auto" w:line="276" w:before="57" w:after="57"/>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3 DO CREDENCIAMENTO</w:t>
      </w:r>
    </w:p>
    <w:p>
      <w:pPr>
        <w:pStyle w:val="Default"/>
        <w:spacing w:lineRule="auto" w:line="276" w:before="57" w:after="57"/>
        <w:jc w:val="both"/>
        <w:rPr>
          <w:rFonts w:ascii="Verdana" w:hAnsi="Verdana"/>
          <w:sz w:val="20"/>
          <w:szCs w:val="20"/>
        </w:rPr>
      </w:pPr>
      <w:r>
        <w:rPr>
          <w:rFonts w:ascii="Verdana" w:hAnsi="Verdana"/>
          <w:b/>
          <w:bCs/>
          <w:sz w:val="20"/>
          <w:szCs w:val="20"/>
        </w:rPr>
        <w:t>3.1</w:t>
      </w:r>
      <w:r>
        <w:rPr>
          <w:rFonts w:ascii="Verdana" w:hAnsi="Verdana"/>
          <w:sz w:val="20"/>
          <w:szCs w:val="20"/>
        </w:rPr>
        <w:t xml:space="preserve">.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rFonts w:ascii="Verdana" w:hAnsi="Verdana"/>
          <w:sz w:val="20"/>
          <w:szCs w:val="20"/>
        </w:rPr>
      </w:pPr>
      <w:r>
        <w:rPr>
          <w:rFonts w:ascii="Verdana" w:hAnsi="Verdana"/>
          <w:b/>
          <w:bCs/>
          <w:sz w:val="20"/>
          <w:szCs w:val="20"/>
        </w:rPr>
        <w:t>3.2</w:t>
      </w:r>
      <w:r>
        <w:rPr>
          <w:rFonts w:ascii="Verdana" w:hAnsi="Verdana"/>
          <w:sz w:val="20"/>
          <w:szCs w:val="20"/>
        </w:rPr>
        <w:t xml:space="preserve">.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rFonts w:ascii="Verdana" w:hAnsi="Verdana"/>
          <w:sz w:val="20"/>
          <w:szCs w:val="20"/>
        </w:rPr>
      </w:pPr>
      <w:r>
        <w:rPr>
          <w:rFonts w:ascii="Verdana" w:hAnsi="Verdana"/>
          <w:b/>
          <w:bCs/>
          <w:sz w:val="20"/>
          <w:szCs w:val="20"/>
        </w:rPr>
        <w:t>3.3</w:t>
      </w:r>
      <w:r>
        <w:rPr>
          <w:rFonts w:ascii="Verdana" w:hAnsi="Verdana"/>
          <w:sz w:val="20"/>
          <w:szCs w:val="20"/>
        </w:rPr>
        <w:t xml:space="preserve">. É de exclusiva responsabilidade do usuário o sigilo da senha, bem como seu uso em qualquer transação efetuada. </w:t>
      </w:r>
    </w:p>
    <w:p>
      <w:pPr>
        <w:pStyle w:val="Default"/>
        <w:spacing w:lineRule="auto" w:line="276" w:before="57" w:after="57"/>
        <w:jc w:val="both"/>
        <w:rPr>
          <w:rFonts w:ascii="Verdana" w:hAnsi="Verdana"/>
          <w:sz w:val="20"/>
          <w:szCs w:val="20"/>
        </w:rPr>
      </w:pPr>
      <w:r>
        <w:rPr>
          <w:rFonts w:ascii="Verdana" w:hAnsi="Verdana"/>
          <w:b/>
          <w:bCs/>
          <w:sz w:val="20"/>
          <w:szCs w:val="20"/>
        </w:rPr>
        <w:t>3.4</w:t>
      </w:r>
      <w:r>
        <w:rPr>
          <w:rFonts w:ascii="Verdana" w:hAnsi="Verdana"/>
          <w:sz w:val="20"/>
          <w:szCs w:val="20"/>
        </w:rPr>
        <w:t xml:space="preserve">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rFonts w:ascii="Verdana" w:hAnsi="Verdana"/>
          <w:sz w:val="20"/>
          <w:szCs w:val="20"/>
        </w:rPr>
      </w:pPr>
      <w:r>
        <w:rPr>
          <w:rFonts w:cs="Arial" w:ascii="Verdana" w:hAnsi="Verdana"/>
          <w:b/>
          <w:bCs/>
          <w:iCs/>
          <w:sz w:val="20"/>
          <w:szCs w:val="20"/>
        </w:rPr>
        <w:t>3.5</w:t>
      </w:r>
      <w:r>
        <w:rPr>
          <w:rFonts w:cs="Arial" w:ascii="Verdana" w:hAnsi="Verdana"/>
          <w:bCs/>
          <w:iCs/>
          <w:sz w:val="20"/>
          <w:szCs w:val="20"/>
        </w:rPr>
        <w:t>.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rFonts w:ascii="Verdana" w:hAnsi="Verdana"/>
          <w:sz w:val="20"/>
          <w:szCs w:val="20"/>
        </w:rPr>
      </w:pPr>
      <w:r>
        <w:rPr>
          <w:rFonts w:cs="Arial" w:ascii="Verdana" w:hAnsi="Verdana"/>
          <w:b/>
          <w:bCs/>
          <w:iCs/>
          <w:sz w:val="20"/>
          <w:szCs w:val="20"/>
        </w:rPr>
        <w:t>3.6</w:t>
      </w:r>
      <w:r>
        <w:rPr>
          <w:rFonts w:cs="Arial" w:ascii="Verdana" w:hAnsi="Verdana"/>
          <w:bCs/>
          <w:iCs/>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4 A PARTICIPAÇÃO NO PREGÃO.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4.1</w:t>
      </w:r>
      <w:r>
        <w:rPr>
          <w:rFonts w:cs="Arial" w:ascii="Verdana" w:hAnsi="Verdana"/>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shd w:fill="FFFF00" w:val="clear"/>
        </w:rPr>
      </w:pPr>
      <w:r>
        <w:rPr>
          <w:rFonts w:cs="Arial" w:ascii="Verdana" w:hAnsi="Verdana"/>
          <w:b/>
          <w:bCs/>
          <w:iCs/>
          <w:color w:val="000000"/>
          <w:sz w:val="20"/>
          <w:szCs w:val="20"/>
          <w:shd w:fill="FFFF00" w:val="clear"/>
        </w:rPr>
        <w:t>4.2</w:t>
      </w:r>
      <w:r>
        <w:rPr>
          <w:rFonts w:cs="Arial" w:ascii="Verdana" w:hAnsi="Verdana"/>
          <w:bCs/>
          <w:iCs/>
          <w:color w:val="000000"/>
          <w:sz w:val="20"/>
          <w:szCs w:val="20"/>
          <w:shd w:fill="FFFF00" w:val="clear"/>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Fonts w:ascii="Verdana" w:hAnsi="Verdana"/>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76" w:before="57" w:after="57"/>
        <w:jc w:val="both"/>
        <w:rPr>
          <w:rFonts w:ascii="Verdana" w:hAnsi="Verdana"/>
          <w:sz w:val="20"/>
          <w:szCs w:val="20"/>
        </w:rPr>
      </w:pPr>
      <w:r>
        <w:rPr>
          <w:rFonts w:cs="Arial" w:ascii="Verdana" w:hAnsi="Verdana"/>
          <w:b/>
          <w:bCs/>
          <w:color w:val="000000"/>
          <w:sz w:val="20"/>
          <w:szCs w:val="20"/>
        </w:rPr>
        <w:t>4.3</w:t>
      </w:r>
      <w:r>
        <w:rPr>
          <w:rFonts w:cs="Arial" w:ascii="Verdana" w:hAnsi="Verdana"/>
          <w:bCs/>
          <w:color w:val="000000"/>
          <w:sz w:val="20"/>
          <w:szCs w:val="20"/>
        </w:rPr>
        <w:t xml:space="preserve"> Não poderão participar desta licitação os interessados: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20"/>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rFonts w:ascii="Verdana" w:hAnsi="Verdana"/>
        </w:rPr>
      </w:pPr>
      <w:r>
        <w:rPr>
          <w:rFonts w:eastAsia="Segoe UI" w:cs="Arial" w:ascii="Verdana" w:hAnsi="Verdana"/>
          <w:b/>
          <w:bCs/>
          <w:color w:val="000000"/>
        </w:rPr>
        <w:t>4.4</w:t>
      </w:r>
      <w:r>
        <w:rPr>
          <w:rFonts w:eastAsia="Segoe UI" w:cs="Arial" w:ascii="Verdana" w:hAnsi="Verdana"/>
          <w:bCs/>
          <w:color w:val="000000"/>
        </w:rPr>
        <w:t xml:space="preserve">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rFonts w:ascii="Verdana" w:hAnsi="Verdana"/>
        </w:rPr>
      </w:pPr>
      <w:bookmarkStart w:id="7" w:name="art14§2"/>
      <w:bookmarkEnd w:id="7"/>
      <w:r>
        <w:rPr>
          <w:rFonts w:eastAsia="Segoe UI" w:cs="Arial" w:ascii="Verdana" w:hAnsi="Verdana"/>
          <w:b/>
          <w:bCs/>
          <w:color w:val="000000"/>
        </w:rPr>
        <w:t>4.5</w:t>
      </w:r>
      <w:r>
        <w:rPr>
          <w:rFonts w:eastAsia="Segoe UI" w:cs="Arial" w:ascii="Verdana" w:hAnsi="Verdana"/>
          <w:bCs/>
          <w:color w:val="000000"/>
        </w:rPr>
        <w:t xml:space="preserve">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rFonts w:ascii="Verdana" w:hAnsi="Verdana"/>
        </w:rPr>
      </w:pPr>
      <w:bookmarkStart w:id="8" w:name="art14§3"/>
      <w:bookmarkEnd w:id="8"/>
      <w:r>
        <w:rPr>
          <w:rFonts w:eastAsia="Segoe UI" w:cs="Arial" w:ascii="Verdana" w:hAnsi="Verdana"/>
          <w:b/>
          <w:bCs/>
          <w:color w:val="000000"/>
        </w:rPr>
        <w:t>4.6</w:t>
      </w:r>
      <w:r>
        <w:rPr>
          <w:rFonts w:eastAsia="Segoe UI" w:cs="Arial" w:ascii="Verdana" w:hAnsi="Verdana"/>
          <w:bCs/>
          <w:color w:val="000000"/>
        </w:rPr>
        <w:t xml:space="preserve"> Equiparam-se aos autores do projeto as empresas integrantes do mesmo grupo econômico.</w:t>
      </w:r>
    </w:p>
    <w:p>
      <w:pPr>
        <w:pStyle w:val="Nivel2"/>
        <w:numPr>
          <w:ilvl w:val="0"/>
          <w:numId w:val="0"/>
        </w:numPr>
        <w:spacing w:before="57" w:after="57"/>
        <w:ind w:hanging="0" w:left="0"/>
        <w:rPr>
          <w:rFonts w:ascii="Verdana" w:hAnsi="Verdana"/>
        </w:rPr>
      </w:pPr>
      <w:bookmarkStart w:id="9" w:name="art14§4"/>
      <w:bookmarkEnd w:id="9"/>
      <w:r>
        <w:rPr>
          <w:rFonts w:eastAsia="Segoe UI" w:cs="Arial" w:ascii="Verdana" w:hAnsi="Verdana"/>
          <w:b/>
          <w:bCs/>
          <w:color w:val="000000"/>
        </w:rPr>
        <w:t>4.7</w:t>
      </w:r>
      <w:r>
        <w:rPr>
          <w:rFonts w:eastAsia="Segoe UI" w:cs="Arial" w:ascii="Verdana" w:hAnsi="Verdana"/>
          <w:bCs/>
          <w:color w:val="000000"/>
        </w:rPr>
        <w:t xml:space="preserve">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
          <w:bCs/>
          <w:color w:val="000000"/>
        </w:rPr>
        <w:t>4.8</w:t>
      </w:r>
      <w:r>
        <w:rPr>
          <w:rFonts w:eastAsia="Segoe UI" w:cs="Arial" w:ascii="Verdana" w:hAnsi="Verdana"/>
          <w:bCs/>
          <w:color w:val="00000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rFonts w:ascii="Verdana" w:hAnsi="Verdana"/>
        </w:rPr>
      </w:pPr>
      <w:r>
        <w:rPr>
          <w:rFonts w:eastAsia="Segoe UI" w:cs="Arial" w:ascii="Verdana" w:hAnsi="Verdana"/>
          <w:b/>
          <w:bCs/>
          <w:color w:val="000000"/>
        </w:rPr>
        <w:t>4.9</w:t>
      </w:r>
      <w:r>
        <w:rPr>
          <w:rFonts w:eastAsia="Segoe UI" w:cs="Arial" w:ascii="Verdana" w:hAnsi="Verdana"/>
          <w:bCs/>
          <w:color w:val="000000"/>
        </w:rPr>
        <w:t xml:space="preserve"> A vedação de que trata o item 3.3.9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cs="Tahoma"/>
        </w:rPr>
      </w:pPr>
      <w:r>
        <w:rPr>
          <w:rFonts w:cs="Tahoma" w:ascii="Verdana" w:hAnsi="Verdana"/>
        </w:rPr>
      </w:r>
    </w:p>
    <w:p>
      <w:pPr>
        <w:pStyle w:val="Nivel01"/>
        <w:spacing w:lineRule="auto" w:line="276" w:before="57" w:after="57"/>
        <w:rPr>
          <w:rFonts w:ascii="Verdana" w:hAnsi="Verdana"/>
        </w:rPr>
      </w:pPr>
      <w:r>
        <w:rPr>
          <w:rFonts w:cs="Arial" w:ascii="Verdana" w:hAnsi="Verdana"/>
        </w:rPr>
        <w:t>5 DA APRESENTAÇÃO DA PROPOSTA E DOS DOCUMENTOS DE HABILITAÇÃO</w:t>
      </w:r>
    </w:p>
    <w:p>
      <w:pPr>
        <w:pStyle w:val="Normal"/>
        <w:tabs>
          <w:tab w:val="clear" w:pos="720"/>
          <w:tab w:val="left" w:pos="450" w:leader="none"/>
          <w:tab w:val="left" w:pos="1450" w:leader="none"/>
        </w:tabs>
        <w:spacing w:lineRule="auto" w:line="276" w:before="57" w:after="57"/>
        <w:jc w:val="both"/>
        <w:rPr>
          <w:rFonts w:ascii="Verdana" w:hAnsi="Verdana"/>
          <w:sz w:val="20"/>
          <w:szCs w:val="20"/>
        </w:rPr>
      </w:pPr>
      <w:r>
        <w:rPr>
          <w:rFonts w:cs="Arial" w:ascii="Verdana" w:hAnsi="Verdana"/>
          <w:b/>
          <w:bCs/>
          <w:color w:val="000000"/>
          <w:sz w:val="20"/>
          <w:szCs w:val="20"/>
        </w:rPr>
        <w:t>5.1</w:t>
      </w:r>
      <w:r>
        <w:rPr>
          <w:rFonts w:cs="Arial" w:ascii="Verdana" w:hAnsi="Verdana"/>
          <w:color w:val="000000"/>
          <w:sz w:val="20"/>
          <w:szCs w:val="20"/>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color w:val="000000"/>
          <w:sz w:val="20"/>
          <w:szCs w:val="20"/>
        </w:rPr>
        <w:t>5.2</w:t>
      </w:r>
      <w:r>
        <w:rPr>
          <w:rFonts w:cs="Arial" w:ascii="Verdana" w:hAnsi="Verdana"/>
          <w:color w:val="000000"/>
          <w:sz w:val="20"/>
          <w:szCs w:val="20"/>
        </w:rPr>
        <w:t xml:space="preserve"> O envio da proposta, acompanhada dos documentos de habilitação exigidos neste Edital, ocorrerá por meio de chave de acesso e senha.</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color w:val="000000"/>
          <w:sz w:val="20"/>
          <w:szCs w:val="20"/>
        </w:rPr>
        <w:t>5.3</w:t>
      </w:r>
      <w:r>
        <w:rPr>
          <w:rFonts w:cs="Arial" w:ascii="Verdana" w:hAnsi="Verdana"/>
          <w:color w:val="000000"/>
          <w:sz w:val="20"/>
          <w:szCs w:val="20"/>
        </w:rPr>
        <w:t xml:space="preserve"> Os licitantes poderão deixar de apresentar os documentos de habilitação que constem do SICAF, assegurado aos demais licitantes o direito de acesso aos dados constantes dos sistemas.</w:t>
      </w:r>
    </w:p>
    <w:p>
      <w:pPr>
        <w:pStyle w:val="Normal"/>
        <w:tabs>
          <w:tab w:val="clear" w:pos="720"/>
          <w:tab w:val="left" w:pos="450" w:leader="none"/>
        </w:tabs>
        <w:spacing w:lineRule="auto" w:line="276" w:before="57" w:after="57"/>
        <w:jc w:val="both"/>
        <w:rPr>
          <w:rFonts w:ascii="Verdana" w:hAnsi="Verdana"/>
          <w:sz w:val="20"/>
          <w:szCs w:val="20"/>
        </w:rPr>
      </w:pPr>
      <w:r>
        <w:rPr>
          <w:rFonts w:eastAsia="Arial" w:cs="Arial" w:ascii="Verdana" w:hAnsi="Verdana"/>
          <w:b/>
          <w:bCs/>
          <w:sz w:val="20"/>
          <w:szCs w:val="20"/>
        </w:rPr>
        <w:t>5.4</w:t>
      </w:r>
      <w:r>
        <w:rPr>
          <w:rFonts w:eastAsia="Arial" w:cs="Arial" w:ascii="Verdana" w:hAnsi="Verdana"/>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color w:val="000000"/>
          <w:sz w:val="20"/>
          <w:szCs w:val="20"/>
        </w:rPr>
        <w:t>5.5</w:t>
      </w:r>
      <w:r>
        <w:rPr>
          <w:rFonts w:cs="Arial" w:ascii="Verdana" w:hAnsi="Verdana"/>
          <w:color w:val="000000"/>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i/>
          <w:iCs/>
          <w:color w:val="000000"/>
          <w:sz w:val="20"/>
          <w:szCs w:val="20"/>
        </w:rPr>
        <w:t>5.6 Até a abertura da sessão pública, os licitantes poderão retirar ou substituir a proposta e os documentos de habilitação anteriormente inseridos no sistema;</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color w:val="000000"/>
          <w:sz w:val="20"/>
          <w:szCs w:val="20"/>
        </w:rPr>
        <w:t>5.7</w:t>
      </w:r>
      <w:r>
        <w:rPr>
          <w:rFonts w:cs="Arial" w:ascii="Verdana" w:hAnsi="Verdana"/>
          <w:color w:val="000000"/>
          <w:sz w:val="20"/>
          <w:szCs w:val="20"/>
        </w:rPr>
        <w:t xml:space="preserve"> Não será estabelecida, nessa etapa do certame, ordem de classificação entre as propostas apresentadas, o que somente ocorrerá após a realização dos procedimentos de negociação e julgamento da proposta.</w:t>
      </w:r>
    </w:p>
    <w:p>
      <w:pPr>
        <w:pStyle w:val="Normal"/>
        <w:tabs>
          <w:tab w:val="clear" w:pos="720"/>
          <w:tab w:val="left" w:pos="450" w:leader="none"/>
        </w:tabs>
        <w:spacing w:lineRule="auto" w:line="276" w:before="57" w:after="57"/>
        <w:jc w:val="both"/>
        <w:rPr>
          <w:rFonts w:ascii="Verdana" w:hAnsi="Verdana"/>
          <w:sz w:val="20"/>
          <w:szCs w:val="20"/>
        </w:rPr>
      </w:pPr>
      <w:r>
        <w:rPr>
          <w:rFonts w:cs="Arial" w:ascii="Verdana" w:hAnsi="Verdana"/>
          <w:b/>
          <w:bCs/>
          <w:color w:val="000000"/>
          <w:sz w:val="20"/>
          <w:szCs w:val="20"/>
        </w:rPr>
        <w:t>5.8</w:t>
      </w:r>
      <w:r>
        <w:rPr>
          <w:rFonts w:cs="Arial" w:ascii="Verdana" w:hAnsi="Verdana"/>
          <w:color w:val="000000"/>
          <w:sz w:val="20"/>
          <w:szCs w:val="20"/>
        </w:rPr>
        <w:t xml:space="preserve"> 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6 DO PREENCHIMENTO DA PROPOSTA</w:t>
      </w:r>
    </w:p>
    <w:p>
      <w:pPr>
        <w:pStyle w:val="Normal"/>
        <w:tabs>
          <w:tab w:val="clear" w:pos="720"/>
          <w:tab w:val="left" w:pos="450" w:leader="none"/>
        </w:tabs>
        <w:spacing w:lineRule="auto" w:line="276" w:before="57" w:after="57"/>
        <w:jc w:val="both"/>
        <w:rPr/>
      </w:pPr>
      <w:r>
        <w:rPr>
          <w:rFonts w:cs="Arial" w:ascii="Verdana" w:hAnsi="Verdana"/>
          <w:b/>
          <w:bCs/>
          <w:sz w:val="20"/>
          <w:szCs w:val="20"/>
        </w:rPr>
        <w:t>6.1</w:t>
      </w:r>
      <w:r>
        <w:rPr>
          <w:rFonts w:cs="Arial" w:ascii="Verdana" w:hAnsi="Verdana"/>
          <w:sz w:val="20"/>
          <w:szCs w:val="20"/>
        </w:rPr>
        <w:t xml:space="preserve"> O licitante deverá enviar sua proposta mediante o preenchimento, no sistema eletrônico, dos seguintes campos:</w:t>
      </w:r>
    </w:p>
    <w:p>
      <w:pPr>
        <w:pStyle w:val="Normal"/>
        <w:tabs>
          <w:tab w:val="clear" w:pos="720"/>
          <w:tab w:val="left" w:pos="617" w:leader="none"/>
          <w:tab w:val="left" w:pos="733" w:leader="none"/>
        </w:tabs>
        <w:snapToGrid w:val="false"/>
        <w:spacing w:lineRule="auto" w:line="276" w:before="57" w:after="57"/>
        <w:jc w:val="both"/>
        <w:rPr/>
      </w:pPr>
      <w:r>
        <w:rPr>
          <w:rFonts w:cs="Arial" w:ascii="Verdana" w:hAnsi="Verdana"/>
          <w:iCs/>
          <w:color w:themeColor="text1" w:val="000000"/>
          <w:sz w:val="20"/>
          <w:szCs w:val="20"/>
        </w:rPr>
        <w:t>6.1.1 Valor unitário e total do item;</w:t>
      </w:r>
    </w:p>
    <w:p>
      <w:pPr>
        <w:pStyle w:val="Normal"/>
        <w:tabs>
          <w:tab w:val="clear" w:pos="720"/>
          <w:tab w:val="left" w:pos="617" w:leader="none"/>
          <w:tab w:val="left" w:pos="1440" w:leader="none"/>
        </w:tabs>
        <w:snapToGrid w:val="false"/>
        <w:spacing w:lineRule="auto" w:line="276" w:before="57" w:after="57"/>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tabs>
          <w:tab w:val="clear" w:pos="720"/>
          <w:tab w:val="left" w:pos="617" w:leader="none"/>
          <w:tab w:val="left" w:pos="683" w:leader="none"/>
        </w:tabs>
        <w:snapToGrid w:val="false"/>
        <w:spacing w:lineRule="auto" w:line="276" w:before="57" w:after="57"/>
        <w:jc w:val="both"/>
        <w:rPr/>
      </w:pPr>
      <w:r>
        <w:rPr>
          <w:rFonts w:cs="Arial" w:ascii="Verdana" w:hAnsi="Verdana"/>
          <w:bCs/>
          <w:iCs/>
          <w:color w:val="000000"/>
          <w:sz w:val="20"/>
          <w:szCs w:val="20"/>
        </w:rPr>
        <w:t>6.1.2 Marca;</w:t>
      </w:r>
    </w:p>
    <w:p>
      <w:pPr>
        <w:pStyle w:val="Normal"/>
        <w:tabs>
          <w:tab w:val="clear" w:pos="720"/>
          <w:tab w:val="left" w:pos="617" w:leader="none"/>
          <w:tab w:val="left" w:pos="683" w:leader="none"/>
        </w:tabs>
        <w:snapToGrid w:val="false"/>
        <w:spacing w:lineRule="auto" w:line="276" w:before="57" w:after="57"/>
        <w:jc w:val="both"/>
        <w:rPr/>
      </w:pPr>
      <w:r>
        <w:rPr>
          <w:rFonts w:cs="Arial" w:ascii="Verdana" w:hAnsi="Verdana"/>
          <w:bCs/>
          <w:iCs/>
          <w:color w:val="000000"/>
          <w:sz w:val="20"/>
          <w:szCs w:val="20"/>
        </w:rPr>
        <w:t>6.1.3 Fabricante;</w:t>
      </w:r>
    </w:p>
    <w:p>
      <w:pPr>
        <w:pStyle w:val="Normal"/>
        <w:tabs>
          <w:tab w:val="clear" w:pos="720"/>
          <w:tab w:val="left" w:pos="617" w:leader="none"/>
          <w:tab w:val="left" w:pos="683" w:leader="none"/>
        </w:tabs>
        <w:snapToGrid w:val="false"/>
        <w:spacing w:lineRule="auto" w:line="276" w:before="57" w:after="57"/>
        <w:jc w:val="both"/>
        <w:rPr/>
      </w:pPr>
      <w:r>
        <w:rPr>
          <w:rFonts w:cs="Arial" w:ascii="Verdana" w:hAnsi="Verdana"/>
          <w:bCs/>
          <w:iCs/>
          <w:color w:val="000000"/>
          <w:sz w:val="20"/>
          <w:szCs w:val="20"/>
        </w:rPr>
        <w:t>6.1.4 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tabs>
          <w:tab w:val="clear" w:pos="720"/>
          <w:tab w:val="left" w:pos="450" w:leader="none"/>
        </w:tabs>
        <w:spacing w:lineRule="auto" w:line="276" w:before="57" w:after="57"/>
        <w:ind w:left="0"/>
        <w:contextualSpacing w:val="false"/>
        <w:jc w:val="both"/>
        <w:rPr/>
      </w:pPr>
      <w:r>
        <w:rPr>
          <w:rFonts w:cs="Arial" w:ascii="Verdana" w:hAnsi="Verdana"/>
          <w:b/>
          <w:bCs/>
          <w:sz w:val="20"/>
          <w:szCs w:val="20"/>
        </w:rPr>
        <w:t>6.2</w:t>
      </w:r>
      <w:r>
        <w:rPr>
          <w:rFonts w:cs="Arial" w:ascii="Verdana" w:hAnsi="Verdana"/>
          <w:sz w:val="20"/>
          <w:szCs w:val="20"/>
        </w:rPr>
        <w:t xml:space="preserve"> Todas as especificações do objeto contidas na proposta vinculam a Contratada.</w:t>
      </w:r>
    </w:p>
    <w:p>
      <w:pPr>
        <w:pStyle w:val="ListParagraph"/>
        <w:tabs>
          <w:tab w:val="clear" w:pos="720"/>
          <w:tab w:val="left" w:pos="450" w:leader="none"/>
        </w:tabs>
        <w:spacing w:lineRule="auto" w:line="276" w:before="57" w:after="57"/>
        <w:ind w:left="0"/>
        <w:contextualSpacing w:val="false"/>
        <w:jc w:val="both"/>
        <w:rPr/>
      </w:pPr>
      <w:r>
        <w:rPr>
          <w:rFonts w:cs="Arial" w:ascii="Verdana" w:hAnsi="Verdana"/>
          <w:b/>
          <w:bCs/>
          <w:iCs/>
          <w:color w:val="000000"/>
          <w:sz w:val="20"/>
          <w:szCs w:val="20"/>
        </w:rPr>
        <w:t>6.3</w:t>
      </w:r>
      <w:r>
        <w:rPr>
          <w:rFonts w:cs="Arial" w:ascii="Verdana" w:hAnsi="Verdana"/>
          <w:bCs/>
          <w:iCs/>
          <w:color w:val="000000"/>
          <w:sz w:val="20"/>
          <w:szCs w:val="20"/>
        </w:rPr>
        <w:t xml:space="preserve"> Nos valores propostos estarão inclusos todos os custos operacionais, encargos previdenciários, trabalhistas, tributários, comerciais e quaisquer outros que incidam direta ou indiretamente na prestação do serviço ou fornecimento dos produtos;</w:t>
      </w:r>
    </w:p>
    <w:p>
      <w:pPr>
        <w:pStyle w:val="ListParagraph"/>
        <w:tabs>
          <w:tab w:val="clear" w:pos="720"/>
          <w:tab w:val="left" w:pos="450" w:leader="none"/>
        </w:tabs>
        <w:spacing w:lineRule="auto" w:line="276" w:before="57" w:after="57"/>
        <w:ind w:left="0"/>
        <w:contextualSpacing w:val="false"/>
        <w:jc w:val="both"/>
        <w:rPr/>
      </w:pPr>
      <w:r>
        <w:rPr>
          <w:rFonts w:cs="Arial" w:ascii="Verdana" w:hAnsi="Verdana"/>
          <w:b/>
          <w:bCs/>
          <w:color w:val="000000"/>
          <w:sz w:val="20"/>
          <w:szCs w:val="20"/>
        </w:rPr>
        <w:t>6.4</w:t>
      </w:r>
      <w:r>
        <w:rPr>
          <w:rFonts w:cs="Arial" w:ascii="Verdana" w:hAnsi="Verdana"/>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0"/>
          <w:numId w:val="0"/>
        </w:numPr>
        <w:tabs>
          <w:tab w:val="clear" w:pos="720"/>
          <w:tab w:val="left" w:pos="426" w:leader="none"/>
        </w:tabs>
        <w:suppressAutoHyphens w:val="false"/>
        <w:spacing w:before="57" w:after="57"/>
        <w:ind w:hanging="0" w:left="0"/>
        <w:rPr/>
      </w:pPr>
      <w:r>
        <w:rPr>
          <w:rFonts w:ascii="Verdana" w:hAnsi="Verdana"/>
          <w:b/>
          <w:bCs/>
        </w:rPr>
        <w:t>6.5</w:t>
      </w:r>
      <w:r>
        <w:rPr>
          <w:rFonts w:ascii="Verdana" w:hAnsi="Verdana"/>
        </w:rPr>
        <w:t xml:space="preserve"> 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tabs>
          <w:tab w:val="clear" w:pos="720"/>
          <w:tab w:val="left" w:pos="450" w:leader="none"/>
        </w:tabs>
        <w:spacing w:lineRule="auto" w:line="276" w:before="57" w:after="57"/>
        <w:ind w:left="0"/>
        <w:contextualSpacing w:val="false"/>
        <w:jc w:val="both"/>
        <w:rPr/>
      </w:pPr>
      <w:r>
        <w:rPr>
          <w:rFonts w:cs="Arial" w:ascii="Verdana" w:hAnsi="Verdana"/>
          <w:b/>
          <w:bCs/>
          <w:color w:val="000000"/>
          <w:sz w:val="20"/>
          <w:szCs w:val="20"/>
        </w:rPr>
        <w:t>6.6</w:t>
      </w:r>
      <w:r>
        <w:rPr>
          <w:rFonts w:cs="Arial" w:ascii="Verdana" w:hAnsi="Verdana"/>
          <w:color w:val="000000"/>
          <w:sz w:val="20"/>
          <w:szCs w:val="20"/>
        </w:rPr>
        <w:t xml:space="preserve"> 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tabs>
          <w:tab w:val="clear" w:pos="720"/>
          <w:tab w:val="left" w:pos="450" w:leader="none"/>
        </w:tabs>
        <w:spacing w:lineRule="auto" w:line="276" w:before="57" w:after="57"/>
        <w:ind w:left="0"/>
        <w:contextualSpacing w:val="false"/>
        <w:jc w:val="both"/>
        <w:rPr/>
      </w:pPr>
      <w:r>
        <w:rPr>
          <w:rFonts w:cs="Arial" w:ascii="Verdana" w:hAnsi="Verdana"/>
          <w:b/>
          <w:bCs/>
          <w:color w:val="000000"/>
          <w:sz w:val="20"/>
          <w:szCs w:val="20"/>
        </w:rPr>
        <w:t>6.7</w:t>
      </w:r>
      <w:r>
        <w:rPr>
          <w:rFonts w:cs="Arial" w:ascii="Verdana" w:hAnsi="Verdana"/>
          <w:color w:val="000000"/>
          <w:sz w:val="20"/>
          <w:szCs w:val="20"/>
        </w:rPr>
        <w:t xml:space="preserve"> Os licitantes devem respeitar os preços máximos estabelecidos nas normas de regência de contratações públicas federais, quando participarem de licitações públicas;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6.8</w:t>
      </w:r>
      <w:r>
        <w:rPr>
          <w:rFonts w:cs="Arial" w:ascii="Verdana" w:hAnsi="Verdana"/>
          <w:color w:val="000000"/>
          <w:sz w:val="20"/>
          <w:szCs w:val="20"/>
        </w:rPr>
        <w:t xml:space="preserve">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color w:val="auto"/>
        </w:rPr>
        <w:t xml:space="preserve">7 DA ABERTURA DA SESSÃO, CLASSIFICAÇÃO DAS PROPOSTAS E FORMULAÇÃO DE LANCES </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7.1</w:t>
      </w:r>
      <w:r>
        <w:rPr>
          <w:rFonts w:cs="Arial" w:ascii="Verdana" w:hAnsi="Verdana"/>
          <w:color w:val="000000"/>
          <w:sz w:val="20"/>
          <w:szCs w:val="20"/>
          <w:lang w:eastAsia="en-US"/>
        </w:rPr>
        <w:t xml:space="preserve"> 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0"/>
          <w:numId w:val="0"/>
        </w:numPr>
        <w:spacing w:before="57" w:after="57"/>
        <w:ind w:hanging="0" w:left="0"/>
        <w:rPr>
          <w:rFonts w:ascii="Verdana" w:hAnsi="Verdana"/>
        </w:rPr>
      </w:pPr>
      <w:r>
        <w:rPr>
          <w:rFonts w:cs="Arial" w:ascii="Verdana" w:hAnsi="Verdana"/>
          <w:b/>
          <w:bCs/>
          <w:color w:val="000000"/>
          <w:lang w:eastAsia="en-US"/>
        </w:rPr>
        <w:t>7.2</w:t>
      </w:r>
      <w:r>
        <w:rPr>
          <w:rFonts w:cs="Arial" w:ascii="Verdana" w:hAnsi="Verdana"/>
          <w:color w:val="000000"/>
          <w:lang w:eastAsia="en-US"/>
        </w:rPr>
        <w:t xml:space="preserve"> Os licitantes poderão retirar ou substituir a proposta ou os documentos de habilitação, quando for o caso, anteriormente inseridos no sistema, até a abertura da sessão pública.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7.3</w:t>
      </w:r>
      <w:r>
        <w:rPr>
          <w:rFonts w:cs="Arial" w:ascii="Verdana" w:hAnsi="Verdana"/>
          <w:color w:val="000000"/>
          <w:sz w:val="20"/>
          <w:szCs w:val="20"/>
          <w:lang w:eastAsia="en-US"/>
        </w:rPr>
        <w:t xml:space="preserve"> 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lang w:eastAsia="en-US"/>
        </w:rPr>
        <w:t>7.3.1 Também será desclassificada a proposta que identifique o licitante.</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7.3.2 A desclassificação será sempre fundamentada e registrada no sistema, com acompanhamento em tempo real por todos os participantes.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7.3.3 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b/>
          <w:bCs/>
          <w:color w:val="000000"/>
          <w:sz w:val="20"/>
          <w:szCs w:val="20"/>
        </w:rPr>
        <w:t>7.4</w:t>
      </w:r>
      <w:r>
        <w:rPr>
          <w:rFonts w:cs="Arial" w:ascii="Verdana" w:hAnsi="Verdana"/>
          <w:color w:val="000000"/>
          <w:sz w:val="20"/>
          <w:szCs w:val="20"/>
        </w:rPr>
        <w:t xml:space="preserve">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b/>
          <w:bCs/>
          <w:color w:val="000000"/>
          <w:sz w:val="20"/>
          <w:szCs w:val="20"/>
        </w:rPr>
        <w:t>7.4</w:t>
      </w:r>
      <w:r>
        <w:rPr>
          <w:rFonts w:cs="Arial" w:ascii="Verdana" w:hAnsi="Verdana"/>
          <w:color w:val="000000"/>
          <w:sz w:val="20"/>
          <w:szCs w:val="20"/>
        </w:rPr>
        <w:t xml:space="preserve">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b/>
          <w:bCs/>
          <w:color w:val="000000"/>
          <w:sz w:val="20"/>
          <w:szCs w:val="20"/>
        </w:rPr>
        <w:t>7.5</w:t>
      </w:r>
      <w:r>
        <w:rPr>
          <w:rFonts w:cs="Arial" w:ascii="Verdana" w:hAnsi="Verdana"/>
          <w:color w:val="000000"/>
          <w:sz w:val="20"/>
          <w:szCs w:val="20"/>
        </w:rPr>
        <w:t xml:space="preserve">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7.6</w:t>
      </w:r>
      <w:r>
        <w:rPr>
          <w:rFonts w:cs="Arial" w:ascii="Verdana" w:hAnsi="Verdana"/>
          <w:color w:val="000000"/>
          <w:sz w:val="20"/>
          <w:szCs w:val="20"/>
        </w:rPr>
        <w:t xml:space="preserve">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7.7</w:t>
      </w:r>
      <w:r>
        <w:rPr>
          <w:rFonts w:cs="Arial" w:ascii="Verdana" w:hAnsi="Verdana"/>
          <w:sz w:val="20"/>
          <w:szCs w:val="20"/>
        </w:rPr>
        <w:t xml:space="preserve"> O licitante somente poderá oferecer lance de valor inferior ao último por ele ofertado e registrado pelo sistema.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7.8</w:t>
      </w:r>
      <w:r>
        <w:rPr>
          <w:rFonts w:cs="Arial" w:ascii="Verdana" w:hAnsi="Verdana"/>
          <w:color w:val="000000"/>
          <w:sz w:val="20"/>
          <w:szCs w:val="20"/>
        </w:rPr>
        <w:t xml:space="preserve">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7.9</w:t>
      </w:r>
      <w:r>
        <w:rPr>
          <w:rFonts w:cs="Arial" w:ascii="Verdana" w:hAnsi="Verdana"/>
          <w:color w:val="000000"/>
          <w:sz w:val="20"/>
          <w:szCs w:val="20"/>
        </w:rPr>
        <w:t xml:space="preserve">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7.10</w:t>
      </w:r>
      <w:r>
        <w:rPr>
          <w:rFonts w:cs="Arial" w:ascii="Verdana" w:hAnsi="Verdana"/>
          <w:color w:val="000000"/>
          <w:sz w:val="20"/>
          <w:szCs w:val="20"/>
        </w:rPr>
        <w:t>.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b/>
          <w:bCs/>
          <w:sz w:val="20"/>
          <w:szCs w:val="20"/>
        </w:rPr>
        <w:t>7.11</w:t>
      </w:r>
      <w:r>
        <w:rPr>
          <w:rFonts w:ascii="Verdana" w:hAnsi="Verdana"/>
          <w:sz w:val="20"/>
          <w:szCs w:val="20"/>
        </w:rPr>
        <w:t>.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ascii="Verdana" w:hAnsi="Verdana"/>
          <w:sz w:val="20"/>
          <w:szCs w:val="20"/>
        </w:rPr>
        <w:t>7.11.1.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b/>
          <w:bCs/>
          <w:sz w:val="20"/>
          <w:szCs w:val="20"/>
        </w:rPr>
        <w:t>7.12</w:t>
      </w:r>
      <w:r>
        <w:rPr>
          <w:rFonts w:ascii="Verdana" w:hAnsi="Verdana"/>
          <w:sz w:val="20"/>
          <w:szCs w:val="20"/>
        </w:rPr>
        <w:t>.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7.13</w:t>
      </w:r>
      <w:r>
        <w:rPr>
          <w:rFonts w:cs="Arial" w:ascii="Verdana" w:hAnsi="Verdana"/>
          <w:color w:val="000000"/>
          <w:sz w:val="20"/>
          <w:szCs w:val="20"/>
        </w:rPr>
        <w:t xml:space="preserve">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7.14</w:t>
      </w:r>
      <w:r>
        <w:rPr>
          <w:rFonts w:cs="Arial" w:ascii="Verdana" w:hAnsi="Verdana"/>
          <w:color w:val="000000"/>
          <w:sz w:val="20"/>
          <w:szCs w:val="20"/>
        </w:rPr>
        <w:t xml:space="preserve">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7.15</w:t>
      </w:r>
      <w:r>
        <w:rPr>
          <w:rFonts w:cs="Arial" w:ascii="Verdana" w:hAnsi="Verdana"/>
          <w:color w:val="000000"/>
          <w:sz w:val="20"/>
          <w:szCs w:val="20"/>
        </w:rPr>
        <w:t xml:space="preserve">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7.16</w:t>
      </w:r>
      <w:r>
        <w:rPr>
          <w:rFonts w:cs="Arial" w:ascii="Verdana" w:hAnsi="Verdana"/>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7.17</w:t>
      </w:r>
      <w:r>
        <w:rPr>
          <w:rFonts w:cs="Arial" w:ascii="Verdana" w:hAnsi="Verdana"/>
          <w:color w:val="000000"/>
          <w:sz w:val="20"/>
          <w:szCs w:val="20"/>
        </w:rPr>
        <w:t xml:space="preserve"> O Critério de julgamento adotado será o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7.18</w:t>
      </w:r>
      <w:r>
        <w:rPr>
          <w:rFonts w:cs="Arial" w:ascii="Verdana" w:hAnsi="Verdana"/>
          <w:color w:val="000000"/>
          <w:sz w:val="20"/>
          <w:szCs w:val="20"/>
        </w:rPr>
        <w:t xml:space="preserve">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7.19</w:t>
      </w:r>
      <w:r>
        <w:rPr>
          <w:rFonts w:cs="Arial" w:ascii="Verdana" w:hAnsi="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7.20</w:t>
      </w:r>
      <w:r>
        <w:rPr>
          <w:rFonts w:cs="Arial" w:ascii="Verdana" w:hAnsi="Verdana"/>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7.21</w:t>
      </w:r>
      <w:r>
        <w:rPr>
          <w:rFonts w:cs="Arial" w:ascii="Verdana" w:hAnsi="Verdana"/>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7.22</w:t>
      </w:r>
      <w:r>
        <w:rPr>
          <w:rFonts w:cs="Arial" w:ascii="Verdana" w:hAnsi="Verdana"/>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7.23</w:t>
      </w:r>
      <w:r>
        <w:rPr>
          <w:rFonts w:cs="Arial" w:ascii="Verdana" w:hAnsi="Verdana"/>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7.24</w:t>
      </w:r>
      <w:r>
        <w:rPr>
          <w:rFonts w:cs="Arial" w:ascii="Verdana" w:hAnsi="Verdana"/>
          <w:color w:val="000000"/>
          <w:sz w:val="20"/>
          <w:szCs w:val="20"/>
        </w:rPr>
        <w:t xml:space="preserve">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7.25</w:t>
      </w:r>
      <w:r>
        <w:rPr>
          <w:rFonts w:cs="Arial" w:ascii="Verdana" w:hAnsi="Verdana"/>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7.25.2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lang w:eastAsia="en-US"/>
        </w:rPr>
        <w:t>7.26</w:t>
      </w:r>
      <w:r>
        <w:rPr>
          <w:rFonts w:cs="Arial" w:ascii="Verdana" w:hAnsi="Verdana"/>
          <w:color w:val="000000"/>
          <w:sz w:val="20"/>
          <w:szCs w:val="20"/>
          <w:lang w:eastAsia="en-US"/>
        </w:rPr>
        <w:t xml:space="preserve">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7.27</w:t>
      </w:r>
      <w:r>
        <w:rPr>
          <w:rFonts w:cs="Arial" w:ascii="Verdana" w:hAnsi="Verdana"/>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7.28</w:t>
      </w:r>
      <w:r>
        <w:rPr>
          <w:rFonts w:cs="Arial" w:ascii="Verdana" w:hAnsi="Verdana"/>
          <w:color w:val="000000"/>
          <w:sz w:val="20"/>
          <w:szCs w:val="20"/>
        </w:rPr>
        <w:t xml:space="preserve"> Após a negociação do preço, o Pregoeiro iniciará a fase de aceitação e julgamento da proposta.</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tabs>
          <w:tab w:val="clear" w:pos="567"/>
          <w:tab w:val="left" w:pos="517" w:leader="none"/>
        </w:tabs>
        <w:spacing w:lineRule="auto" w:line="276" w:before="57" w:after="57"/>
        <w:rPr>
          <w:rFonts w:ascii="Verdana" w:hAnsi="Verdana"/>
        </w:rPr>
      </w:pPr>
      <w:r>
        <w:rPr>
          <w:rFonts w:cs="Arial" w:ascii="Verdana" w:hAnsi="Verdana"/>
          <w:lang w:eastAsia="en-US"/>
        </w:rPr>
        <w:t>8 DA ACEITABILIDADE DA PROPOSTA VENCEDORA.</w:t>
      </w:r>
    </w:p>
    <w:p>
      <w:pPr>
        <w:pStyle w:val="ListParagraph"/>
        <w:tabs>
          <w:tab w:val="clear" w:pos="720"/>
          <w:tab w:val="left" w:pos="517" w:leader="none"/>
        </w:tabs>
        <w:spacing w:lineRule="auto" w:line="276" w:before="57" w:after="57"/>
        <w:ind w:left="0"/>
        <w:contextualSpacing w:val="false"/>
        <w:jc w:val="both"/>
        <w:rPr/>
      </w:pPr>
      <w:r>
        <w:rPr>
          <w:rFonts w:cs="Arial" w:ascii="Verdana" w:hAnsi="Verdana"/>
          <w:b/>
          <w:bCs/>
          <w:color w:val="000000"/>
          <w:sz w:val="20"/>
          <w:szCs w:val="20"/>
        </w:rPr>
        <w:t>8.1</w:t>
      </w:r>
      <w:r>
        <w:rPr>
          <w:rFonts w:cs="Arial" w:ascii="Verdana" w:hAnsi="Verdana"/>
          <w:color w:val="000000"/>
          <w:sz w:val="20"/>
          <w:szCs w:val="20"/>
        </w:rPr>
        <w:t xml:space="preserve"> </w:t>
      </w: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
          <w:sz w:val="20"/>
          <w:u w:val="single"/>
          <w:szCs w:val="20"/>
          <w:rFonts w:cs="Arial" w:ascii="Verdana" w:hAnsi="Verdana"/>
          <w:color w:val="000080"/>
        </w:rPr>
        <w:instrText xml:space="preserve"> HYPERLINK "http://www.planalto.gov.br/ccivil_03/_ato2019-2022/2021/lei/L14133.htm" \l "art14"</w:instrText>
      </w:r>
      <w:r>
        <w:rPr>
          <w:rStyle w:val="ListLabel29"/>
          <w:sz w:val="20"/>
          <w:u w:val="single"/>
          <w:szCs w:val="20"/>
          <w:rFonts w:cs="Arial" w:ascii="Verdana" w:hAnsi="Verdana"/>
          <w:color w:val="000080"/>
        </w:rPr>
        <w:fldChar w:fldCharType="separate"/>
      </w:r>
      <w:r>
        <w:rPr>
          <w:rStyle w:val="ListLabel29"/>
          <w:rFonts w:cs="Arial" w:ascii="Verdana" w:hAnsi="Verdana"/>
          <w:color w:val="000080"/>
          <w:sz w:val="20"/>
          <w:szCs w:val="20"/>
          <w:u w:val="single"/>
        </w:rPr>
        <w:t>art. 14 da Lei nº 14.133/2021</w:t>
      </w:r>
      <w:r>
        <w:rPr>
          <w:rStyle w:val="ListLabel29"/>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8.2</w:t>
      </w:r>
      <w:r>
        <w:rPr>
          <w:rFonts w:cs="Arial" w:ascii="Verdana" w:hAnsi="Verdana"/>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8.3</w:t>
      </w:r>
      <w:r>
        <w:rPr>
          <w:rFonts w:cs="Arial" w:ascii="Verdana" w:hAnsi="Verdana"/>
          <w:color w:val="000000"/>
          <w:sz w:val="20"/>
          <w:szCs w:val="20"/>
        </w:rPr>
        <w:t xml:space="preserve"> 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8.4</w:t>
      </w:r>
      <w:r>
        <w:rPr>
          <w:rFonts w:cs="Arial" w:ascii="Verdana" w:hAnsi="Verdana"/>
          <w:color w:val="000000"/>
          <w:sz w:val="20"/>
          <w:szCs w:val="20"/>
        </w:rPr>
        <w:t xml:space="preserve"> Caso o licitante provisoriamente classificado em primeiro lugar tenha se utilizado de algum tratamento favorecido às ME/EPPs, o pregoeiro verificará se faz jus ao benefício, em conformidade este edital. </w:t>
      </w:r>
    </w:p>
    <w:p>
      <w:pPr>
        <w:pStyle w:val="ListParagraph"/>
        <w:tabs>
          <w:tab w:val="clear" w:pos="720"/>
          <w:tab w:val="left" w:pos="517" w:leader="none"/>
        </w:tabs>
        <w:spacing w:lineRule="auto" w:line="276" w:before="57" w:after="57"/>
        <w:ind w:left="0"/>
        <w:contextualSpacing w:val="false"/>
        <w:jc w:val="both"/>
        <w:rPr/>
      </w:pPr>
      <w:r>
        <w:rPr>
          <w:rFonts w:cs="Arial" w:ascii="Verdana" w:hAnsi="Verdana"/>
          <w:b/>
          <w:bCs/>
          <w:color w:val="000000"/>
          <w:sz w:val="20"/>
          <w:szCs w:val="20"/>
        </w:rPr>
        <w:t>8.5</w:t>
      </w:r>
      <w:r>
        <w:rPr>
          <w:rFonts w:cs="Arial" w:ascii="Verdana" w:hAnsi="Verdana"/>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
          <w:sz w:val="20"/>
          <w:u w:val="single"/>
          <w:szCs w:val="20"/>
          <w:rFonts w:cs="Arial" w:ascii="Verdana" w:hAnsi="Verdana"/>
          <w:color w:val="000080"/>
        </w:rPr>
        <w:fldChar w:fldCharType="separate"/>
      </w:r>
      <w:r>
        <w:rPr>
          <w:rStyle w:val="ListLabel29"/>
          <w:rFonts w:cs="Arial" w:ascii="Verdana" w:hAnsi="Verdana"/>
          <w:color w:val="000080"/>
          <w:sz w:val="20"/>
          <w:szCs w:val="20"/>
          <w:u w:val="single"/>
        </w:rPr>
        <w:t>artigo 29 a 35 da IN SEGES nº 73, de 30 de setembro de 2022</w:t>
      </w:r>
      <w:r>
        <w:rPr>
          <w:rStyle w:val="ListLabel29"/>
          <w:sz w:val="20"/>
          <w:u w:val="single"/>
          <w:szCs w:val="20"/>
          <w:rFonts w:cs="Arial" w:ascii="Verdana" w:hAnsi="Verdana"/>
          <w:color w:val="000080"/>
        </w:rPr>
        <w:fldChar w:fldCharType="end"/>
      </w:r>
      <w:r>
        <w:rPr>
          <w:rFonts w:cs="Arial" w:ascii="Verdana" w:hAnsi="Verdana"/>
          <w:color w:val="000000"/>
          <w:sz w:val="20"/>
          <w:szCs w:val="20"/>
        </w:rPr>
        <w:t>.</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8.6</w:t>
      </w:r>
      <w:r>
        <w:rPr>
          <w:rFonts w:ascii="Verdana" w:hAnsi="Verdana"/>
          <w:sz w:val="20"/>
          <w:szCs w:val="20"/>
        </w:rPr>
        <w:t xml:space="preserve"> Será desclassificada a proposta ou o lance vencedor,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8.6.2 contenha vício insanável ou ilegalidade;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8.7</w:t>
      </w:r>
      <w:r>
        <w:rPr>
          <w:rFonts w:ascii="Verdana" w:hAnsi="Verdana"/>
          <w:sz w:val="20"/>
          <w:szCs w:val="20"/>
        </w:rPr>
        <w:t xml:space="preserve"> É vedado à proponente incluir na Planilha de Custos e Formação de Preços: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8.7.5 rubricas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8.8</w:t>
      </w:r>
      <w:r>
        <w:rPr>
          <w:rFonts w:ascii="Verdana" w:hAnsi="Verdana"/>
          <w:sz w:val="20"/>
          <w:szCs w:val="20"/>
        </w:rPr>
        <w:t xml:space="preserve">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8.9</w:t>
      </w:r>
      <w:r>
        <w:rPr>
          <w:rFonts w:ascii="Verdana" w:hAnsi="Verdana"/>
          <w:sz w:val="20"/>
          <w:szCs w:val="20"/>
        </w:rPr>
        <w:t xml:space="preserve"> A inexequibilidade dos valores referentes a itens isolados da Planilha de Custos e Formação de Preços não caracteriza motivo suficiente para a desclassificação da proposta, desde que não contrariem exigências legais.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8.10</w:t>
      </w:r>
      <w:r>
        <w:rPr>
          <w:rFonts w:ascii="Verdana" w:hAnsi="Verdana"/>
          <w:sz w:val="20"/>
          <w:szCs w:val="20"/>
        </w:rPr>
        <w:t xml:space="preserve"> 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b/>
          <w:bCs/>
          <w:sz w:val="20"/>
          <w:szCs w:val="20"/>
        </w:rPr>
        <w:t>8.11</w:t>
      </w:r>
      <w:r>
        <w:rPr>
          <w:rFonts w:ascii="Verdana" w:hAnsi="Verdana"/>
          <w:sz w:val="20"/>
          <w:szCs w:val="20"/>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8.11.1 As propostas com preços próximos ou inferiores ao mínimo estabelecido pela Prefeitura Municipal de São Gabriel da Palha, disponibilizado em meio eletrônico, no Portal de Compras Públicas (http://</w:t>
      </w:r>
      <w:bookmarkStart w:id="12" w:name="_Hlk123138684_Copia_2"/>
      <w:r>
        <w:rPr>
          <w:rFonts w:cs="Arial" w:ascii="Verdana" w:hAnsi="Verdana"/>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8.12</w:t>
      </w:r>
      <w:r>
        <w:rPr>
          <w:rFonts w:cs="Arial" w:ascii="Verdana" w:hAnsi="Verdana"/>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8.13</w:t>
      </w:r>
      <w:r>
        <w:rPr>
          <w:rFonts w:cs="Arial" w:ascii="Verdana" w:hAnsi="Verdana"/>
          <w:color w:val="000000"/>
          <w:sz w:val="20"/>
          <w:szCs w:val="20"/>
          <w:lang w:eastAsia="en-US"/>
        </w:rPr>
        <w:t xml:space="preserve"> 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iCs/>
          <w:color w:val="000000"/>
          <w:sz w:val="20"/>
          <w:szCs w:val="20"/>
        </w:rPr>
        <w:t>8.14</w:t>
      </w:r>
      <w:r>
        <w:rPr>
          <w:rFonts w:cs="Arial" w:ascii="Verdana" w:hAnsi="Verdana"/>
          <w:bCs/>
          <w:iCs/>
          <w:color w:val="000000"/>
          <w:sz w:val="20"/>
          <w:szCs w:val="20"/>
        </w:rPr>
        <w:t xml:space="preserve"> Todos os dados informados pelo licitante em sua planilha deverão refletir com fidelidade os custos especificados e a margem de lucro pretendida. </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lang w:eastAsia="en-US"/>
        </w:rPr>
        <w:t>8.15</w:t>
      </w:r>
      <w:r>
        <w:rPr>
          <w:rFonts w:cs="Arial" w:ascii="Verdana" w:hAnsi="Verdana"/>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rPr>
        <w:t>8.16</w:t>
      </w:r>
      <w:r>
        <w:rPr>
          <w:rFonts w:cs="Arial" w:ascii="Verdana" w:hAnsi="Verdana"/>
          <w:sz w:val="20"/>
          <w:szCs w:val="20"/>
        </w:rPr>
        <w:t xml:space="preserve"> Erros no preenchimento da planilha não constituem motivo para a desclassificação da proposta. A planilha poderá́ ser ajustada pelo licitante, no prazo indicado pelo Pregoeiro, desde que não haja majoração do preço. </w:t>
      </w:r>
    </w:p>
    <w:p>
      <w:pPr>
        <w:pStyle w:val="Normal"/>
        <w:tabs>
          <w:tab w:val="clear" w:pos="720"/>
          <w:tab w:val="left" w:pos="683" w:leader="none"/>
          <w:tab w:val="left" w:pos="900" w:leader="none"/>
        </w:tabs>
        <w:snapToGrid w:val="false"/>
        <w:spacing w:lineRule="auto" w:line="276" w:before="57" w:after="57"/>
        <w:jc w:val="both"/>
        <w:rPr>
          <w:rFonts w:ascii="Verdana" w:hAnsi="Verdana"/>
          <w:sz w:val="20"/>
          <w:szCs w:val="20"/>
        </w:rPr>
      </w:pPr>
      <w:r>
        <w:rPr>
          <w:rFonts w:cs="Arial" w:ascii="Verdana" w:hAnsi="Verdana"/>
          <w:sz w:val="20"/>
          <w:szCs w:val="20"/>
        </w:rPr>
        <w:t>8.16.1 O ajuste de que trata este dispositivo se limita a sanar erros ou falhas que não alterem a substância das propostas;</w:t>
      </w:r>
    </w:p>
    <w:p>
      <w:pPr>
        <w:pStyle w:val="Normal"/>
        <w:tabs>
          <w:tab w:val="clear" w:pos="720"/>
          <w:tab w:val="left" w:pos="683" w:leader="none"/>
          <w:tab w:val="left" w:pos="9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8.16.2 Considera-se erro no preenchimento da planilha passível de correção a indicação de recolhimento de impostos e contribuições na forma do Simples Nacional, quando não cabível esse regime.</w:t>
      </w:r>
    </w:p>
    <w:p>
      <w:pPr>
        <w:pStyle w:val="Normal"/>
        <w:tabs>
          <w:tab w:val="clear" w:pos="720"/>
          <w:tab w:val="left" w:pos="683" w:leader="none"/>
          <w:tab w:val="left" w:pos="9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8.16.3 O Pregoeiro deverá verificar se a proposta apresenta o valor total dos custos da contratação, inclusive aqueles estimados para as ocorrências de fatos geradores.</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rPr>
        <w:t>8.17</w:t>
      </w:r>
      <w:r>
        <w:rPr>
          <w:rFonts w:cs="Arial" w:ascii="Verdana" w:hAnsi="Verdana"/>
          <w:sz w:val="20"/>
          <w:szCs w:val="20"/>
        </w:rPr>
        <w:t xml:space="preserve"> Para fins de análise da proposta quanto ao cumprimento das especificações do objeto, poderá ser colhida a manifestação escrita do setor requisitante do serviço ou da área especializada no objeto.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8.18</w:t>
      </w:r>
      <w:r>
        <w:rPr>
          <w:rFonts w:cs="Arial" w:ascii="Verdana" w:hAnsi="Verdana"/>
          <w:color w:val="000000"/>
          <w:sz w:val="20"/>
          <w:szCs w:val="20"/>
        </w:rPr>
        <w:t xml:space="preserve"> Se a proposta ou lance vencedor for desclassificado, o Pregoeiro examinará a proposta ou lance subsequente, e, assim sucessivamente, na ordem de classificação.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8.19</w:t>
      </w:r>
      <w:r>
        <w:rPr>
          <w:rFonts w:cs="Arial" w:ascii="Verdana" w:hAnsi="Verdana"/>
          <w:color w:val="000000"/>
          <w:sz w:val="20"/>
          <w:szCs w:val="20"/>
        </w:rPr>
        <w:t xml:space="preserve"> Havendo necessidade, o Pregoeiro suspenderá a sessão, informando no “chat” a nova data e horário para a continuidade da mesma.</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8.20</w:t>
      </w:r>
      <w:r>
        <w:rPr>
          <w:rFonts w:cs="Arial" w:ascii="Verdana" w:hAnsi="Verdana"/>
          <w:color w:val="000000"/>
          <w:sz w:val="20"/>
          <w:szCs w:val="20"/>
        </w:rPr>
        <w:t xml:space="preserve">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8.21</w:t>
      </w:r>
      <w:r>
        <w:rPr>
          <w:rFonts w:cs="Arial" w:ascii="Verdana" w:hAnsi="Verdana"/>
          <w:color w:val="000000"/>
          <w:sz w:val="20"/>
          <w:szCs w:val="20"/>
        </w:rPr>
        <w:t xml:space="preserve"> 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57"/>
        <w:rPr>
          <w:rFonts w:ascii="Verdana" w:hAnsi="Verdana"/>
        </w:rPr>
      </w:pPr>
      <w:r>
        <w:rPr>
          <w:rFonts w:cs="Arial" w:ascii="Verdana" w:hAnsi="Verdana"/>
          <w:lang w:eastAsia="en-US"/>
        </w:rPr>
        <w:t>9 DA HABILITAÇÃO</w:t>
      </w:r>
    </w:p>
    <w:p>
      <w:pPr>
        <w:pStyle w:val="Nivel01"/>
        <w:tabs>
          <w:tab w:val="clear" w:pos="567"/>
          <w:tab w:val="left" w:pos="284" w:leader="none"/>
          <w:tab w:val="left" w:pos="517" w:leader="none"/>
        </w:tabs>
        <w:spacing w:lineRule="auto" w:line="276" w:before="57" w:after="57"/>
        <w:rPr>
          <w:rFonts w:ascii="Verdana" w:hAnsi="Verdana"/>
        </w:rPr>
      </w:pPr>
      <w:r>
        <w:rPr>
          <w:rFonts w:cs="Arial" w:ascii="Verdana" w:hAnsi="Verdana"/>
          <w:lang w:eastAsia="ar-SA"/>
        </w:rPr>
        <w:t>9.1</w:t>
      </w:r>
      <w:r>
        <w:rPr>
          <w:rFonts w:cs="Arial" w:ascii="Verdana" w:hAnsi="Verdana"/>
          <w:b w:val="false"/>
          <w:lang w:eastAsia="ar-SA"/>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30"/>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30"/>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31"/>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30"/>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20"/>
          <w:tab w:val="left" w:pos="56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ar-SA"/>
        </w:rPr>
        <w:t>9.2</w:t>
      </w:r>
      <w:r>
        <w:rPr>
          <w:rFonts w:cs="Arial" w:ascii="Verdana" w:hAnsi="Verdana"/>
          <w:color w:val="000000"/>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9.2.1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9.2.2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9.2.3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20"/>
          <w:tab w:val="left" w:pos="567" w:leader="none"/>
        </w:tabs>
        <w:spacing w:before="57" w:after="57"/>
        <w:ind w:hanging="0"/>
        <w:rPr>
          <w:rFonts w:ascii="Verdana" w:hAnsi="Verdana"/>
          <w:szCs w:val="20"/>
        </w:rPr>
      </w:pPr>
      <w:r>
        <w:rPr>
          <w:rFonts w:cs="Arial" w:ascii="Verdana" w:hAnsi="Verdana"/>
          <w:b/>
          <w:bCs/>
          <w:color w:val="000000"/>
          <w:szCs w:val="20"/>
        </w:rPr>
        <w:t>9.3</w:t>
      </w:r>
      <w:r>
        <w:rPr>
          <w:rFonts w:cs="Arial" w:ascii="Verdana" w:hAnsi="Verdana"/>
          <w:color w:val="00000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20"/>
          <w:tab w:val="left" w:pos="567" w:leader="none"/>
        </w:tabs>
        <w:spacing w:before="57" w:after="57"/>
        <w:ind w:hanging="0"/>
        <w:rPr>
          <w:rFonts w:ascii="Verdana" w:hAnsi="Verdana"/>
          <w:szCs w:val="20"/>
        </w:rPr>
      </w:pPr>
      <w:r>
        <w:rPr>
          <w:rFonts w:cs="Arial" w:ascii="Verdana" w:hAnsi="Verdana"/>
          <w:b/>
          <w:bCs/>
          <w:szCs w:val="20"/>
        </w:rPr>
        <w:t>9.4</w:t>
      </w:r>
      <w:r>
        <w:rPr>
          <w:rFonts w:cs="Arial" w:ascii="Verdana" w:hAnsi="Verdana"/>
          <w:szCs w:val="20"/>
        </w:rPr>
        <w:t xml:space="preserve">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20"/>
          <w:tab w:val="left" w:pos="567" w:leader="none"/>
        </w:tabs>
        <w:spacing w:before="57" w:after="57"/>
        <w:ind w:hanging="0"/>
        <w:rPr>
          <w:rFonts w:ascii="Verdana" w:hAnsi="Verdana"/>
          <w:szCs w:val="20"/>
        </w:rPr>
      </w:pPr>
      <w:r>
        <w:rPr>
          <w:rFonts w:cs="Arial" w:ascii="Verdana" w:hAnsi="Verdana"/>
          <w:b/>
          <w:bCs/>
          <w:szCs w:val="20"/>
        </w:rPr>
        <w:t>9.5</w:t>
      </w:r>
      <w:r>
        <w:rPr>
          <w:rFonts w:cs="Arial" w:ascii="Verdana" w:hAnsi="Verdana"/>
          <w:szCs w:val="20"/>
        </w:rPr>
        <w:t xml:space="preserve"> Não serão aceitos documentos de habilitação com indicação de CNPJ/CPF diferentes, salvo aqueles legalmente permitidos.</w:t>
      </w:r>
    </w:p>
    <w:p>
      <w:pPr>
        <w:pStyle w:val="PADRO"/>
        <w:widowControl/>
        <w:tabs>
          <w:tab w:val="clear" w:pos="720"/>
          <w:tab w:val="left" w:pos="567" w:leader="none"/>
        </w:tabs>
        <w:spacing w:before="57" w:after="57"/>
        <w:ind w:hanging="0"/>
        <w:rPr>
          <w:rFonts w:ascii="Verdana" w:hAnsi="Verdana"/>
          <w:szCs w:val="20"/>
        </w:rPr>
      </w:pPr>
      <w:r>
        <w:rPr>
          <w:rFonts w:cs="Arial" w:ascii="Verdana" w:hAnsi="Verdana"/>
          <w:b/>
          <w:bCs/>
          <w:szCs w:val="20"/>
        </w:rPr>
        <w:t>9.6</w:t>
      </w:r>
      <w:r>
        <w:rPr>
          <w:rFonts w:cs="Arial" w:ascii="Verdana" w:hAnsi="Verdana"/>
          <w:szCs w:val="20"/>
        </w:rPr>
        <w:t xml:space="preserve">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20"/>
          <w:tab w:val="left" w:pos="567" w:leader="none"/>
        </w:tabs>
        <w:spacing w:before="57" w:after="57"/>
        <w:ind w:hanging="0"/>
        <w:rPr>
          <w:rFonts w:ascii="Verdana" w:hAnsi="Verdana"/>
          <w:szCs w:val="20"/>
        </w:rPr>
      </w:pPr>
      <w:r>
        <w:rPr>
          <w:rFonts w:cs="Arial" w:ascii="Verdana" w:hAnsi="Verdana"/>
          <w:b/>
          <w:bCs/>
          <w:szCs w:val="20"/>
        </w:rPr>
        <w:t>9.7</w:t>
      </w:r>
      <w:r>
        <w:rPr>
          <w:rFonts w:cs="Arial" w:ascii="Verdana" w:hAnsi="Verdana"/>
          <w:szCs w:val="20"/>
        </w:rPr>
        <w:t xml:space="preserve"> Ressalvado o disposto no item 5.3, os licitantes deverão encaminhar, nos termos deste Edital, a documentação relacionada nos itens a seguir, para fins de habilitação: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9.8 Habilitação jurídica:</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9.8.1 No caso de empresário individual: inscrição no Registro Público de Empresas Mercantis, a cargo da Junta Comercial da respectiva sede;</w:t>
      </w:r>
    </w:p>
    <w:p>
      <w:pPr>
        <w:pStyle w:val="ListParagraph"/>
        <w:spacing w:lineRule="auto" w:line="276" w:before="57" w:after="57"/>
        <w:ind w:left="0"/>
        <w:contextualSpacing w:val="false"/>
        <w:jc w:val="both"/>
        <w:rPr/>
      </w:pPr>
      <w:r>
        <w:rPr>
          <w:rFonts w:cs="Arial" w:ascii="Verdana" w:hAnsi="Verdana"/>
          <w:bCs/>
          <w:color w:val="000000"/>
          <w:sz w:val="20"/>
          <w:szCs w:val="20"/>
        </w:rPr>
        <w:t xml:space="preserve">9.8.2 Em se tratando de microempreendedor individual – MEI: Certificado da Condição de Microempreendedor Individual – CCMEI, cuja aceitação ficará condicionada à verificação da autenticidade no sítio </w:t>
      </w:r>
      <w:hyperlink r:id="rId7">
        <w:r>
          <w:rPr>
            <w:rStyle w:val="ListLabel32"/>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9.8.4 Inscrição no Registro Público de Empresas Mercantis onde opera, com averbação no Registro onde tem sede a matriz, no caso de ser o participante sucursal, filial ou agência;</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9.8.7 No caso de empresa ou sociedade estrangeira em funcionamento no País: decreto de autorização;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9.8.8 Os documentos acima deverão estar acompanhados de todas as alterações ou da consolidação respectiva;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 xml:space="preserve">9.9 Regularidade fiscal </w:t>
      </w:r>
      <w:r>
        <w:rPr>
          <w:rFonts w:cs="Arial" w:ascii="Verdana" w:hAnsi="Verdana"/>
          <w:b/>
          <w:bCs/>
          <w:sz w:val="20"/>
          <w:szCs w:val="20"/>
        </w:rPr>
        <w:t>e trabalhista</w:t>
      </w:r>
      <w:r>
        <w:rPr>
          <w:rFonts w:cs="Arial" w:ascii="Verdana" w:hAnsi="Verdana"/>
          <w:b/>
          <w:bCs/>
          <w:color w:val="000000"/>
          <w:sz w:val="20"/>
          <w:szCs w:val="20"/>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lang w:eastAsia="en-US"/>
        </w:rPr>
        <w:t>9.10</w:t>
      </w:r>
      <w:r>
        <w:rPr>
          <w:rFonts w:cs="Arial" w:ascii="Verdana" w:hAnsi="Verdana"/>
          <w:sz w:val="20"/>
          <w:szCs w:val="20"/>
          <w:lang w:eastAsia="en-US"/>
        </w:rPr>
        <w:t xml:space="preserve"> Prova de inscrição no Cadastro Nacional de Pessoas Jurídicas ou no Cadastro de Pessoas Físicas, conforme o caso;</w:t>
      </w:r>
    </w:p>
    <w:p>
      <w:pPr>
        <w:pStyle w:val="Normal"/>
        <w:snapToGrid w:val="false"/>
        <w:spacing w:lineRule="auto" w:line="276" w:before="57" w:after="57"/>
        <w:jc w:val="both"/>
        <w:rPr>
          <w:rFonts w:ascii="Verdana" w:hAnsi="Verdana"/>
          <w:sz w:val="20"/>
          <w:szCs w:val="20"/>
        </w:rPr>
      </w:pPr>
      <w:r>
        <w:rPr>
          <w:rFonts w:cs="Arial" w:ascii="Verdana" w:hAnsi="Verdana"/>
          <w:b/>
          <w:bCs/>
          <w:sz w:val="20"/>
          <w:szCs w:val="20"/>
          <w:lang w:eastAsia="en-US"/>
        </w:rPr>
        <w:t>9.11</w:t>
      </w:r>
      <w:r>
        <w:rPr>
          <w:rFonts w:cs="Arial" w:ascii="Verdana" w:hAnsi="Verdana"/>
          <w:sz w:val="20"/>
          <w:szCs w:val="20"/>
          <w:lang w:eastAsia="en-US"/>
        </w:rPr>
        <w:t xml:space="preserve"> 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snapToGrid w:val="false"/>
        <w:spacing w:lineRule="auto" w:line="276" w:before="57" w:after="57"/>
        <w:jc w:val="both"/>
        <w:rPr>
          <w:rFonts w:ascii="Verdana" w:hAnsi="Verdana"/>
          <w:sz w:val="20"/>
          <w:szCs w:val="20"/>
        </w:rPr>
      </w:pPr>
      <w:r>
        <w:rPr>
          <w:rFonts w:cs="Arial" w:ascii="Verdana" w:hAnsi="Verdana"/>
          <w:b/>
          <w:bCs/>
          <w:sz w:val="20"/>
          <w:szCs w:val="20"/>
        </w:rPr>
        <w:t>9.12</w:t>
      </w:r>
      <w:r>
        <w:rPr>
          <w:rFonts w:cs="Arial" w:ascii="Verdana" w:hAnsi="Verdana"/>
          <w:sz w:val="20"/>
          <w:szCs w:val="20"/>
        </w:rPr>
        <w:t xml:space="preserve"> 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snapToGrid w:val="false"/>
        <w:spacing w:lineRule="auto" w:line="276" w:before="57" w:after="57"/>
        <w:jc w:val="both"/>
        <w:rPr>
          <w:rFonts w:ascii="Verdana" w:hAnsi="Verdana"/>
          <w:sz w:val="20"/>
          <w:szCs w:val="20"/>
        </w:rPr>
      </w:pPr>
      <w:r>
        <w:rPr>
          <w:rFonts w:cs="Arial" w:ascii="Verdana" w:hAnsi="Verdana"/>
          <w:b/>
          <w:bCs/>
          <w:sz w:val="20"/>
          <w:szCs w:val="20"/>
        </w:rPr>
        <w:t>9.13</w:t>
      </w:r>
      <w:r>
        <w:rPr>
          <w:rFonts w:cs="Arial" w:ascii="Verdana" w:hAnsi="Verdana"/>
          <w:sz w:val="20"/>
          <w:szCs w:val="20"/>
        </w:rPr>
        <w:t xml:space="preserve"> 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snapToGrid w:val="false"/>
        <w:spacing w:lineRule="auto" w:line="276" w:before="57" w:after="57"/>
        <w:jc w:val="both"/>
        <w:rPr>
          <w:rFonts w:ascii="Verdana" w:hAnsi="Verdana"/>
          <w:sz w:val="20"/>
          <w:szCs w:val="20"/>
        </w:rPr>
      </w:pPr>
      <w:r>
        <w:rPr>
          <w:rFonts w:cs="Arial" w:ascii="Verdana" w:hAnsi="Verdana"/>
          <w:sz w:val="20"/>
          <w:szCs w:val="20"/>
        </w:rPr>
        <w:t>9.13.1 Certidão de regularidade junto ao</w:t>
      </w:r>
      <w:r>
        <w:rPr>
          <w:rFonts w:cs="Arial" w:ascii="Verdana" w:hAnsi="Verdana"/>
          <w:b/>
          <w:sz w:val="20"/>
          <w:szCs w:val="20"/>
        </w:rPr>
        <w:t xml:space="preserve"> FGTS;</w:t>
      </w:r>
    </w:p>
    <w:p>
      <w:pPr>
        <w:pStyle w:val="Normal"/>
        <w:snapToGrid w:val="false"/>
        <w:spacing w:lineRule="auto" w:line="276" w:before="57" w:after="57"/>
        <w:jc w:val="both"/>
        <w:rPr>
          <w:rFonts w:ascii="Verdana" w:hAnsi="Verdana"/>
          <w:sz w:val="20"/>
          <w:szCs w:val="20"/>
        </w:rPr>
      </w:pPr>
      <w:r>
        <w:rPr>
          <w:rFonts w:cs="Arial" w:ascii="Verdana" w:hAnsi="Verdana"/>
          <w:sz w:val="20"/>
          <w:szCs w:val="20"/>
          <w:lang w:eastAsia="en-US"/>
        </w:rPr>
        <w:t>9.13.2 Certidão Negativa De Débitos Trabalhistas (CNDT) de acordo com a Lei 12440 de 7 de julho de 2011.</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lang w:eastAsia="en-US" w:bidi="pt-BR"/>
        </w:rPr>
        <w:t xml:space="preserve">9.13.3 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color w:val="000000"/>
          <w:sz w:val="20"/>
          <w:szCs w:val="20"/>
        </w:rPr>
        <w:t>9.14 Qualificação Econômico-Financeira</w:t>
      </w:r>
      <w:r>
        <w:rPr>
          <w:rFonts w:cs="Arial" w:ascii="Verdana" w:hAnsi="Verdana"/>
          <w:color w:val="000000"/>
          <w:sz w:val="20"/>
          <w:szCs w:val="20"/>
        </w:rPr>
        <w:t>.</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9.14.1 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9.14.2 Havendo algum prazo de validade estabelecido por cartório na certidão citada na letra anterior, será considerado o prazo constante da certidão para comprovação da sua validade.</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9.14.3 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9.14.4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spacing w:lineRule="auto" w:line="276" w:before="57" w:after="57"/>
        <w:ind w:left="0"/>
        <w:contextualSpacing w:val="false"/>
        <w:jc w:val="both"/>
        <w:rPr/>
      </w:pPr>
      <w:r>
        <w:rPr>
          <w:rFonts w:cs="Arial" w:ascii="Verdana" w:hAnsi="Verdana"/>
          <w:b/>
          <w:color w:val="000000"/>
          <w:sz w:val="20"/>
          <w:szCs w:val="20"/>
        </w:rPr>
        <w:t>9.15 Qualificação</w:t>
      </w:r>
      <w:r>
        <w:rPr>
          <w:rFonts w:cs="Arial" w:ascii="Verdana" w:hAnsi="Verdana"/>
          <w:b/>
          <w:bCs/>
          <w:iCs/>
          <w:color w:val="000000"/>
          <w:sz w:val="20"/>
          <w:szCs w:val="20"/>
        </w:rPr>
        <w:t xml:space="preserve"> Técnica</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9.15.1 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67, inc. II da Lei Federal 14</w:t>
      </w:r>
      <w:r>
        <w:rPr>
          <w:rFonts w:ascii="Verdana" w:hAnsi="Verdana"/>
          <w:sz w:val="20"/>
          <w:szCs w:val="20"/>
        </w:rPr>
        <w:t>.133/2021</w:t>
      </w:r>
      <w:r>
        <w:rPr>
          <w:rFonts w:cs="Arial" w:ascii="Verdana" w:hAnsi="Verdana"/>
          <w:color w:val="000000"/>
          <w:sz w:val="20"/>
          <w:szCs w:val="20"/>
        </w:rPr>
        <w:t xml:space="preserve"> não precisam constar em todas as licitações, devendo o gestor público, diante de seu poder discricionário e da complexidade do objeto, indicar e justificar tecnicamente as exigências fixadas no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val="pt-PT"/>
        </w:rPr>
        <w:t>9.15.2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tabs>
          <w:tab w:val="clear" w:pos="720"/>
          <w:tab w:val="left" w:pos="617" w:leader="none"/>
        </w:tabs>
        <w:snapToGrid w:val="false"/>
        <w:spacing w:lineRule="auto" w:line="276" w:before="57" w:after="57"/>
        <w:ind w:left="0"/>
        <w:contextualSpacing w:val="false"/>
        <w:jc w:val="both"/>
        <w:rPr>
          <w:rFonts w:ascii="Verdana" w:hAnsi="Verdana"/>
          <w:sz w:val="20"/>
          <w:szCs w:val="20"/>
        </w:rPr>
      </w:pPr>
      <w:r>
        <w:rPr>
          <w:rFonts w:cs="Arial" w:ascii="Verdana" w:hAnsi="Verdana"/>
          <w:b/>
          <w:bCs/>
          <w:sz w:val="20"/>
          <w:szCs w:val="20"/>
        </w:rPr>
        <w:t>9.16</w:t>
      </w:r>
      <w:r>
        <w:rPr>
          <w:rFonts w:cs="Arial" w:ascii="Verdana" w:hAnsi="Verdana"/>
          <w:bCs/>
          <w:sz w:val="20"/>
          <w:szCs w:val="20"/>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tabs>
          <w:tab w:val="clear" w:pos="720"/>
          <w:tab w:val="left" w:pos="617" w:leader="none"/>
        </w:tabs>
        <w:snapToGrid w:val="false"/>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9.17</w:t>
      </w:r>
      <w:r>
        <w:rPr>
          <w:rFonts w:cs="Arial" w:ascii="Verdana" w:hAnsi="Verdana"/>
          <w:bCs/>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9.17.1 A declaração do vencedor acontecerá no momento imediatamente posterior à fase de habilitação.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rPr>
        <w:t>9.18</w:t>
      </w:r>
      <w:r>
        <w:rPr>
          <w:rFonts w:cs="Arial" w:ascii="Verdana" w:hAnsi="Verdana"/>
          <w:bCs/>
          <w:sz w:val="20"/>
          <w:szCs w:val="20"/>
        </w:rPr>
        <w:t xml:space="preserve">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9.19</w:t>
      </w:r>
      <w:r>
        <w:rPr>
          <w:rFonts w:cs="Arial" w:ascii="Verdana" w:hAnsi="Verdana"/>
          <w:bCs/>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9.20</w:t>
      </w:r>
      <w:r>
        <w:rPr>
          <w:rFonts w:cs="Arial" w:ascii="Verdana" w:hAnsi="Verdana"/>
          <w:color w:val="000000"/>
          <w:sz w:val="20"/>
          <w:szCs w:val="20"/>
        </w:rPr>
        <w:t xml:space="preserve"> Havendo necessidade de analisar minuciosamente os documentos exigidos, o Pregoeiro suspenderá a sessão, informando no “chat” a nova data e horário para a continuidade da mesma.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9.21</w:t>
      </w:r>
      <w:r>
        <w:rPr>
          <w:rFonts w:cs="Arial" w:ascii="Verdana" w:hAnsi="Verdana"/>
          <w:color w:val="000000"/>
          <w:sz w:val="20"/>
          <w:szCs w:val="20"/>
        </w:rPr>
        <w:t xml:space="preserve">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9.22</w:t>
      </w:r>
      <w:r>
        <w:rPr>
          <w:rFonts w:cs="Arial" w:ascii="Verdana" w:hAnsi="Verdana"/>
          <w:color w:val="000000"/>
          <w:sz w:val="20"/>
          <w:szCs w:val="20"/>
        </w:rPr>
        <w:t xml:space="preserve"> Constatado o atendimento às exigências de habilitação fixadas no Edital, o licitante será declarado vencedor.</w:t>
      </w:r>
    </w:p>
    <w:p>
      <w:pPr>
        <w:pStyle w:val="ListParagraph"/>
        <w:tabs>
          <w:tab w:val="clear" w:pos="720"/>
          <w:tab w:val="left" w:pos="517"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57"/>
        <w:rPr>
          <w:rFonts w:ascii="Verdana" w:hAnsi="Verdana"/>
        </w:rPr>
      </w:pPr>
      <w:r>
        <w:rPr>
          <w:rFonts w:cs="Arial" w:ascii="Verdana" w:hAnsi="Verdana"/>
          <w:color w:val="auto"/>
          <w:lang w:eastAsia="en-US"/>
        </w:rPr>
        <w:t xml:space="preserve">10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76" w:before="57" w:after="57"/>
        <w:ind w:left="0"/>
        <w:contextualSpacing w:val="false"/>
        <w:jc w:val="both"/>
        <w:rPr>
          <w:rFonts w:ascii="Verdana" w:hAnsi="Verdana"/>
          <w:sz w:val="20"/>
          <w:szCs w:val="20"/>
        </w:rPr>
      </w:pPr>
      <w:r>
        <w:rPr>
          <w:rFonts w:cs="Arial" w:ascii="Verdana" w:hAnsi="Verdana"/>
          <w:b/>
          <w:bCs/>
          <w:iCs/>
          <w:sz w:val="20"/>
          <w:szCs w:val="20"/>
        </w:rPr>
        <w:t>10.1</w:t>
      </w:r>
      <w:r>
        <w:rPr>
          <w:rFonts w:cs="Arial" w:ascii="Verdana" w:hAnsi="Verdana"/>
          <w:iCs/>
          <w:sz w:val="20"/>
          <w:szCs w:val="20"/>
        </w:rPr>
        <w:t xml:space="preserve">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10.1.3 Conter a indicação do banco, número da conta e agência do licitante vencedor, para fins de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iCs/>
          <w:sz w:val="20"/>
          <w:szCs w:val="20"/>
        </w:rPr>
        <w:t>10.2</w:t>
      </w:r>
      <w:r>
        <w:rPr>
          <w:rFonts w:cs="Arial" w:ascii="Verdana" w:hAnsi="Verdana"/>
          <w:iCs/>
          <w:sz w:val="20"/>
          <w:szCs w:val="20"/>
        </w:rPr>
        <w:t xml:space="preserve">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76" w:before="57" w:after="57"/>
        <w:jc w:val="both"/>
        <w:rPr>
          <w:rFonts w:ascii="Verdana" w:hAnsi="Verdana"/>
          <w:sz w:val="20"/>
          <w:szCs w:val="20"/>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10.2.2 Os preços deverão ser expressos em moeda corrente nacional, o valor unitário em algarismos e o valor global em algarismos e por extenso.</w:t>
      </w:r>
    </w:p>
    <w:p>
      <w:pPr>
        <w:pStyle w:val="Normal"/>
        <w:tabs>
          <w:tab w:val="clear" w:pos="720"/>
          <w:tab w:val="left" w:pos="850" w:leader="none"/>
        </w:tabs>
        <w:spacing w:lineRule="auto" w:line="276" w:before="57" w:after="57"/>
        <w:jc w:val="both"/>
        <w:rPr>
          <w:rFonts w:ascii="Verdana" w:hAnsi="Verdana"/>
          <w:sz w:val="20"/>
          <w:szCs w:val="20"/>
        </w:rPr>
      </w:pPr>
      <w:r>
        <w:rPr>
          <w:rFonts w:cs="Arial" w:ascii="Verdana" w:hAnsi="Verdana"/>
          <w:sz w:val="20"/>
          <w:szCs w:val="20"/>
        </w:rPr>
        <w:t>10.2.3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10.3</w:t>
      </w:r>
      <w:r>
        <w:rPr>
          <w:rFonts w:cs="Arial" w:ascii="Verdana" w:hAnsi="Verdana"/>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10.4</w:t>
      </w:r>
      <w:r>
        <w:rPr>
          <w:rFonts w:cs="Arial" w:ascii="Verdana" w:hAnsi="Verdana"/>
          <w:sz w:val="20"/>
          <w:szCs w:val="20"/>
        </w:rPr>
        <w:t xml:space="preserve">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10.5</w:t>
      </w:r>
      <w:r>
        <w:rPr>
          <w:rFonts w:cs="Arial" w:ascii="Verdana" w:hAnsi="Verdana"/>
          <w:color w:val="000000"/>
          <w:sz w:val="20"/>
          <w:szCs w:val="20"/>
        </w:rPr>
        <w:t xml:space="preserve"> 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57"/>
        <w:rPr>
          <w:rFonts w:ascii="Verdana" w:hAnsi="Verdana"/>
        </w:rPr>
      </w:pPr>
      <w:r>
        <w:rPr>
          <w:rFonts w:cs="Arial" w:ascii="Verdana" w:hAnsi="Verdana"/>
          <w:lang w:eastAsia="en-US"/>
        </w:rPr>
        <w:t>11 DOS RECURSOS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11.1</w:t>
      </w:r>
      <w:r>
        <w:rPr>
          <w:rFonts w:cs="Arial" w:ascii="Verdana" w:hAnsi="Verdana"/>
          <w:color w:val="000000"/>
          <w:sz w:val="20"/>
          <w:szCs w:val="20"/>
          <w:lang w:eastAsia="en-US"/>
        </w:rPr>
        <w:t xml:space="preserve">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11.2</w:t>
      </w:r>
      <w:r>
        <w:rPr>
          <w:rFonts w:cs="Arial" w:ascii="Verdana" w:hAnsi="Verdana"/>
          <w:color w:val="000000"/>
          <w:sz w:val="20"/>
          <w:szCs w:val="20"/>
        </w:rPr>
        <w:t xml:space="preserve">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b/>
          <w:bCs/>
          <w:color w:val="000000"/>
          <w:sz w:val="20"/>
          <w:szCs w:val="20"/>
        </w:rPr>
        <w:t>11.3</w:t>
      </w:r>
      <w:r>
        <w:rPr>
          <w:rFonts w:cs="Arial" w:ascii="Verdana" w:hAnsi="Verdana"/>
          <w:color w:val="000000"/>
          <w:sz w:val="20"/>
          <w:szCs w:val="20"/>
        </w:rPr>
        <w:t xml:space="preserve">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sz w:val="20"/>
          <w:szCs w:val="20"/>
        </w:rPr>
        <w:t>11.3.1 A falta de manifestação motivada do licitante quanto à intenção de recorrer importará a decadência desse direito.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11.3.2 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11.4</w:t>
      </w:r>
      <w:r>
        <w:rPr>
          <w:rFonts w:cs="Arial" w:ascii="Verdana" w:hAnsi="Verdana"/>
          <w:color w:val="000000"/>
          <w:sz w:val="20"/>
          <w:szCs w:val="20"/>
        </w:rPr>
        <w:t xml:space="preserve"> O acolhimento do recurso invalida tão somente os atos insuscetíveis de aproveitamento.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11.5</w:t>
      </w:r>
      <w:r>
        <w:rPr>
          <w:rFonts w:cs="Arial" w:ascii="Verdana" w:hAnsi="Verdana"/>
          <w:color w:val="000000"/>
          <w:sz w:val="20"/>
          <w:szCs w:val="20"/>
        </w:rPr>
        <w:t xml:space="preserve"> 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57"/>
        <w:rPr>
          <w:rFonts w:ascii="Verdana" w:hAnsi="Verdana"/>
        </w:rPr>
      </w:pPr>
      <w:r>
        <w:rPr>
          <w:rFonts w:cs="Arial" w:ascii="Verdana" w:hAnsi="Verdana"/>
          <w:lang w:eastAsia="en-US"/>
        </w:rPr>
        <w:t>12 DA REABERTURA DA SESSÃO PÚBLICA</w:t>
      </w:r>
    </w:p>
    <w:p>
      <w:pPr>
        <w:pStyle w:val="Nivel01"/>
        <w:keepNext w:val="false"/>
        <w:keepLines w:val="false"/>
        <w:spacing w:lineRule="auto" w:line="276" w:before="57" w:after="57"/>
        <w:rPr>
          <w:rFonts w:ascii="Verdana" w:hAnsi="Verdana"/>
        </w:rPr>
      </w:pPr>
      <w:r>
        <w:rPr>
          <w:rFonts w:cs="Arial" w:ascii="Verdana" w:hAnsi="Verdana"/>
          <w:color w:val="auto"/>
        </w:rPr>
        <w:t>12.1</w:t>
      </w:r>
      <w:r>
        <w:rPr>
          <w:rFonts w:cs="Arial" w:ascii="Verdana" w:hAnsi="Verdana"/>
          <w:b w:val="false"/>
          <w:bCs w:val="false"/>
          <w:color w:val="auto"/>
        </w:rPr>
        <w:t xml:space="preserve"> A sessão pública poderá ser reaberta:</w:t>
      </w:r>
    </w:p>
    <w:p>
      <w:pPr>
        <w:pStyle w:val="Nivel01"/>
        <w:keepNext w:val="false"/>
        <w:keepLines w:val="false"/>
        <w:tabs>
          <w:tab w:val="left" w:pos="567" w:leader="none"/>
          <w:tab w:val="left" w:pos="850" w:leader="none"/>
        </w:tabs>
        <w:spacing w:lineRule="auto" w:line="276" w:before="57" w:after="57"/>
        <w:rPr>
          <w:rFonts w:ascii="Verdana" w:hAnsi="Verdana"/>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lineRule="auto" w:line="276" w:before="57" w:after="57"/>
        <w:rPr>
          <w:rFonts w:ascii="Verdana" w:hAnsi="Verdana"/>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76" w:before="57" w:after="57"/>
        <w:rPr>
          <w:rFonts w:ascii="Verdana" w:hAnsi="Verdana"/>
        </w:rPr>
      </w:pPr>
      <w:r>
        <w:rPr>
          <w:rFonts w:cs="Arial" w:ascii="Verdana" w:hAnsi="Verdana"/>
          <w:color w:val="auto"/>
        </w:rPr>
        <w:t>12.2</w:t>
      </w:r>
      <w:r>
        <w:rPr>
          <w:rFonts w:cs="Arial" w:ascii="Verdana" w:hAnsi="Verdana"/>
          <w:b w:val="false"/>
          <w:bCs w:val="false"/>
          <w:color w:val="auto"/>
        </w:rPr>
        <w:t xml:space="preserve"> Todos os licitantes remanescentes deverão ser convocados para acompanhar a sessão reaberta.</w:t>
      </w:r>
    </w:p>
    <w:p>
      <w:pPr>
        <w:pStyle w:val="Nivel01"/>
        <w:keepNext w:val="false"/>
        <w:keepLines w:val="false"/>
        <w:tabs>
          <w:tab w:val="left" w:pos="567" w:leader="none"/>
          <w:tab w:val="left" w:pos="850" w:leader="none"/>
        </w:tabs>
        <w:spacing w:lineRule="auto" w:line="276" w:before="57" w:after="57"/>
        <w:rPr>
          <w:rFonts w:ascii="Verdana" w:hAnsi="Verdana"/>
        </w:rPr>
      </w:pPr>
      <w:r>
        <w:rPr>
          <w:rFonts w:cs="Arial" w:ascii="Verdana" w:hAnsi="Verdana"/>
          <w:color w:val="auto"/>
        </w:rPr>
        <w:t>12.3</w:t>
      </w:r>
      <w:r>
        <w:rPr>
          <w:rFonts w:cs="Arial" w:ascii="Verdana" w:hAnsi="Verdana"/>
          <w:b w:val="false"/>
          <w:bCs w:val="false"/>
          <w:color w:val="auto"/>
        </w:rPr>
        <w:t xml:space="preserve"> A convocação se dará por meio do sistema eletrônico (“chat”), e-mail, de acordo com a fase do procedimento licitatório.</w:t>
      </w:r>
    </w:p>
    <w:p>
      <w:pPr>
        <w:pStyle w:val="Nivel01"/>
        <w:tabs>
          <w:tab w:val="left" w:pos="567" w:leader="none"/>
          <w:tab w:val="left" w:pos="850" w:leader="none"/>
        </w:tabs>
        <w:spacing w:lineRule="auto" w:line="276" w:before="57" w:after="57"/>
        <w:rPr>
          <w:rFonts w:ascii="Verdana" w:hAnsi="Verdana"/>
        </w:rPr>
      </w:pPr>
      <w:r>
        <w:rPr>
          <w:rFonts w:cs="Arial" w:ascii="Verdana" w:hAnsi="Verdana"/>
          <w:color w:val="auto"/>
        </w:rPr>
        <w:t>12.4</w:t>
      </w:r>
      <w:r>
        <w:rPr>
          <w:rFonts w:cs="Arial" w:ascii="Verdana" w:hAnsi="Verdana"/>
          <w:b w:val="false"/>
          <w:bCs w:val="false"/>
          <w:color w:val="auto"/>
        </w:rPr>
        <w:t xml:space="preserve"> 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spacing w:lineRule="auto" w:line="276" w:before="57" w:after="57"/>
        <w:rPr>
          <w:rFonts w:ascii="Verdana" w:hAnsi="Verdana"/>
        </w:rPr>
      </w:pPr>
      <w:r>
        <w:rPr>
          <w:rFonts w:cs="Arial" w:ascii="Verdana" w:hAnsi="Verdana"/>
        </w:rPr>
        <w:t xml:space="preserve">13 DA ADJUDICAÇÃO E HOMOLOGAÇÃO </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13.1</w:t>
      </w:r>
      <w:r>
        <w:rPr>
          <w:rFonts w:cs="Arial" w:ascii="Verdana" w:hAnsi="Verdana"/>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13.2</w:t>
      </w:r>
      <w:r>
        <w:rPr>
          <w:rFonts w:cs="Arial" w:ascii="Verdana" w:hAnsi="Verdana"/>
          <w:color w:val="000000"/>
          <w:sz w:val="20"/>
          <w:szCs w:val="20"/>
        </w:rPr>
        <w:t xml:space="preserve"> 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color w:val="auto"/>
        </w:rPr>
        <w:t xml:space="preserve">14 DA GARANTIA DE EXECUÇÃO </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haverá exigência de garantia de execução para a presente contratação.</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sz w:val="20"/>
          <w:szCs w:val="20"/>
        </w:rPr>
        <w:t>14.1.1 A eventual e futura contratação não trata riscos à administração visto que se trata de registro de preços para aquisição eventual de bens, que ocorrerá, após a emissão da nota de empenho, em entrega única; e</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14.1.2 O pagamento à contratada só ocorrerá após o recebimento definitivo e o atendimento a todas as condições previstas no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15. DO REAJUSTAMENTO EM SENTIDO GERAL</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15.1</w:t>
      </w:r>
      <w:r>
        <w:rPr>
          <w:rFonts w:cs="Arial" w:ascii="Verdana" w:hAnsi="Verdana"/>
          <w:color w:val="000000"/>
          <w:sz w:val="20"/>
          <w:szCs w:val="20"/>
        </w:rPr>
        <w:t xml:space="preserve">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16. DA ACEITAÇÃO DO OBJETO E DA FISCALIZAÇÃO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16.1</w:t>
      </w:r>
      <w:r>
        <w:rPr>
          <w:rFonts w:cs="Arial" w:ascii="Verdana" w:hAnsi="Verdana"/>
          <w:color w:val="000000"/>
          <w:sz w:val="20"/>
          <w:szCs w:val="20"/>
          <w:lang w:eastAsia="en-US"/>
        </w:rPr>
        <w:t xml:space="preserve"> Os critérios de recebimento e aceitação do objeto e de fiscalização estão previstos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17.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18</w:t>
      </w:r>
      <w:r>
        <w:rPr>
          <w:rFonts w:cs="Arial" w:ascii="Verdana" w:hAnsi="Verdana"/>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19. DAS SANÇÕES ADMINISTRATIVAS.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shd w:fill="FFFFFF" w:val="clear"/>
        </w:rPr>
        <w:t xml:space="preserve">19.1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19.1.2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19.1.2.3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19.1.2.4 Deixar de apresentar amostra;</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19.1.3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19.1.3.1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19.1.4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57" w:after="57"/>
        <w:jc w:val="both"/>
        <w:rPr>
          <w:rFonts w:ascii="Verdana" w:hAnsi="Verdana"/>
          <w:sz w:val="20"/>
          <w:szCs w:val="20"/>
        </w:rPr>
      </w:pPr>
      <w:r>
        <w:rPr>
          <w:rFonts w:ascii="Verdana" w:hAnsi="Verdana"/>
          <w:sz w:val="20"/>
          <w:szCs w:val="20"/>
        </w:rPr>
        <w:t>19.1.5 F</w:t>
      </w:r>
      <w:bookmarkStart w:id="16" w:name="_Ref114668245"/>
      <w:r>
        <w:rPr>
          <w:rFonts w:ascii="Verdana" w:hAnsi="Verdana"/>
          <w:sz w:val="20"/>
          <w:szCs w:val="20"/>
        </w:rPr>
        <w:t>raudar a licitação</w:t>
      </w:r>
      <w:bookmarkEnd w:id="16"/>
    </w:p>
    <w:p>
      <w:pPr>
        <w:pStyle w:val="Normal"/>
        <w:spacing w:lineRule="auto" w:line="276" w:before="57" w:after="57"/>
        <w:jc w:val="both"/>
        <w:rPr>
          <w:rFonts w:ascii="Verdana" w:hAnsi="Verdana"/>
          <w:sz w:val="20"/>
          <w:szCs w:val="20"/>
        </w:rPr>
      </w:pPr>
      <w:r>
        <w:rPr>
          <w:rFonts w:ascii="Verdana" w:hAnsi="Verdana"/>
          <w:sz w:val="20"/>
          <w:szCs w:val="20"/>
        </w:rPr>
        <w:t>19.1.6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57" w:after="57"/>
        <w:jc w:val="both"/>
        <w:rPr>
          <w:rFonts w:ascii="Verdana" w:hAnsi="Verdana"/>
          <w:sz w:val="20"/>
          <w:szCs w:val="20"/>
        </w:rPr>
      </w:pPr>
      <w:r>
        <w:rPr>
          <w:rFonts w:ascii="Verdana" w:hAnsi="Verdana"/>
          <w:sz w:val="20"/>
          <w:szCs w:val="20"/>
        </w:rPr>
        <w:t>19.1.6.1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19.1.6.2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19.1.6.3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19.1.7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57" w:after="57"/>
        <w:jc w:val="both"/>
        <w:rPr/>
      </w:pPr>
      <w:r>
        <w:rPr>
          <w:rFonts w:ascii="Verdana" w:hAnsi="Verdana"/>
          <w:sz w:val="20"/>
          <w:szCs w:val="20"/>
        </w:rPr>
        <w:t>19.1.8 P</w:t>
      </w:r>
      <w:bookmarkStart w:id="19" w:name="_Ref114668252"/>
      <w:r>
        <w:rPr>
          <w:rFonts w:ascii="Verdana" w:hAnsi="Verdana"/>
          <w:sz w:val="20"/>
          <w:szCs w:val="20"/>
        </w:rPr>
        <w:t xml:space="preserve">raticar ato lesivo previsto no </w:t>
      </w:r>
      <w:r>
        <w:fldChar w:fldCharType="begin"/>
      </w:r>
      <w:r>
        <w:rPr>
          <w:rStyle w:val="ListLabel33"/>
          <w:sz w:val="20"/>
          <w:szCs w:val="20"/>
          <w:rFonts w:ascii="Verdana" w:hAnsi="Verdana"/>
          <w:color w:val="000000"/>
        </w:rPr>
        <w:instrText xml:space="preserve"> HYPERLINK "https://www.planalto.gov.br/ccivil_03/_ato2011-2014/2013/lei/l12846.htm" \l "art5"</w:instrText>
      </w:r>
      <w:r>
        <w:rPr>
          <w:rStyle w:val="ListLabel33"/>
          <w:sz w:val="20"/>
          <w:szCs w:val="20"/>
          <w:rFonts w:ascii="Verdana" w:hAnsi="Verdana"/>
          <w:color w:val="000000"/>
        </w:rPr>
        <w:fldChar w:fldCharType="separate"/>
      </w:r>
      <w:r>
        <w:rPr>
          <w:rStyle w:val="ListLabel33"/>
          <w:rFonts w:ascii="Verdana" w:hAnsi="Verdana"/>
          <w:color w:val="000000"/>
          <w:sz w:val="20"/>
          <w:szCs w:val="20"/>
        </w:rPr>
        <w:t>art. 5º da Lei n.º 12.846, de 2013</w:t>
      </w:r>
      <w:r>
        <w:rPr>
          <w:rStyle w:val="ListLabel33"/>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57" w:after="57"/>
        <w:ind w:hanging="0" w:left="0"/>
        <w:rPr/>
      </w:pPr>
      <w:r>
        <w:rPr>
          <w:rFonts w:ascii="Verdana" w:hAnsi="Verdana"/>
          <w:b/>
          <w:bCs/>
        </w:rPr>
        <w:t>19.2</w:t>
      </w:r>
      <w:r>
        <w:rPr>
          <w:rFonts w:ascii="Verdana" w:hAnsi="Verdana"/>
        </w:rPr>
        <w:t xml:space="preserve">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rFonts w:ascii="Verdana" w:hAnsi="Verdana"/>
        </w:rPr>
      </w:pPr>
      <w:r>
        <w:rPr>
          <w:rFonts w:ascii="Verdana" w:hAnsi="Verdana"/>
        </w:rPr>
        <w:t>19.2.1 Advertência;</w:t>
      </w:r>
    </w:p>
    <w:p>
      <w:pPr>
        <w:pStyle w:val="Nivel2"/>
        <w:numPr>
          <w:ilvl w:val="0"/>
          <w:numId w:val="0"/>
        </w:numPr>
        <w:spacing w:before="57" w:after="57"/>
        <w:ind w:hanging="0" w:left="0"/>
        <w:rPr>
          <w:rFonts w:ascii="Verdana" w:hAnsi="Verdana"/>
        </w:rPr>
      </w:pPr>
      <w:r>
        <w:rPr>
          <w:rFonts w:ascii="Verdana" w:hAnsi="Verdana"/>
        </w:rPr>
        <w:t>19.2.2 Multa;</w:t>
      </w:r>
    </w:p>
    <w:p>
      <w:pPr>
        <w:pStyle w:val="Nivel2"/>
        <w:numPr>
          <w:ilvl w:val="0"/>
          <w:numId w:val="0"/>
        </w:numPr>
        <w:spacing w:before="57" w:after="57"/>
        <w:ind w:hanging="0" w:left="0"/>
        <w:rPr>
          <w:rFonts w:ascii="Verdana" w:hAnsi="Verdana"/>
        </w:rPr>
      </w:pPr>
      <w:r>
        <w:rPr>
          <w:rFonts w:ascii="Verdana" w:hAnsi="Verdana"/>
        </w:rPr>
        <w:t>19.2.3 Impedimento de licitar e contratar e</w:t>
      </w:r>
    </w:p>
    <w:p>
      <w:pPr>
        <w:pStyle w:val="Nivel2"/>
        <w:numPr>
          <w:ilvl w:val="0"/>
          <w:numId w:val="0"/>
        </w:numPr>
        <w:spacing w:before="57" w:after="57"/>
        <w:ind w:hanging="0" w:left="0"/>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rFonts w:ascii="Verdana" w:hAnsi="Verdana"/>
        </w:rPr>
      </w:pPr>
      <w:r>
        <w:rPr>
          <w:rFonts w:ascii="Verdana" w:hAnsi="Verdana"/>
          <w:b/>
          <w:bCs/>
        </w:rPr>
        <w:t>19.3</w:t>
      </w:r>
      <w:r>
        <w:rPr>
          <w:rFonts w:ascii="Verdana" w:hAnsi="Verdana"/>
        </w:rPr>
        <w:t xml:space="preserve"> Na aplicação das sanções serão considerados:</w:t>
      </w:r>
    </w:p>
    <w:p>
      <w:pPr>
        <w:pStyle w:val="Nivel2"/>
        <w:numPr>
          <w:ilvl w:val="0"/>
          <w:numId w:val="0"/>
        </w:numPr>
        <w:spacing w:before="57" w:after="57"/>
        <w:ind w:hanging="0" w:left="0"/>
        <w:rPr>
          <w:rFonts w:ascii="Verdana" w:hAnsi="Verdana"/>
        </w:rPr>
      </w:pPr>
      <w:r>
        <w:rPr>
          <w:rFonts w:ascii="Verdana" w:hAnsi="Verdana"/>
        </w:rPr>
        <w:t>19.3.1 A natureza e a gravidade da infração cometida.</w:t>
      </w:r>
    </w:p>
    <w:p>
      <w:pPr>
        <w:pStyle w:val="Nivel2"/>
        <w:numPr>
          <w:ilvl w:val="0"/>
          <w:numId w:val="0"/>
        </w:numPr>
        <w:spacing w:before="57" w:after="57"/>
        <w:ind w:hanging="0" w:left="0"/>
        <w:rPr>
          <w:rFonts w:ascii="Verdana" w:hAnsi="Verdana"/>
        </w:rPr>
      </w:pPr>
      <w:r>
        <w:rPr>
          <w:rFonts w:ascii="Verdana" w:hAnsi="Verdana"/>
        </w:rPr>
        <w:t>19.3.2 As peculiaridades do caso concreto</w:t>
      </w:r>
    </w:p>
    <w:p>
      <w:pPr>
        <w:pStyle w:val="Nivel2"/>
        <w:numPr>
          <w:ilvl w:val="0"/>
          <w:numId w:val="0"/>
        </w:numPr>
        <w:spacing w:before="57" w:after="57"/>
        <w:ind w:hanging="0" w:left="0"/>
        <w:rPr>
          <w:rFonts w:ascii="Verdana" w:hAnsi="Verdana"/>
        </w:rPr>
      </w:pPr>
      <w:r>
        <w:rPr>
          <w:rFonts w:ascii="Verdana" w:hAnsi="Verdana"/>
        </w:rPr>
        <w:t>19.3.3 As circunstâncias agravantes ou atenuantes</w:t>
      </w:r>
    </w:p>
    <w:p>
      <w:pPr>
        <w:pStyle w:val="Nivel2"/>
        <w:numPr>
          <w:ilvl w:val="0"/>
          <w:numId w:val="0"/>
        </w:numPr>
        <w:spacing w:before="57" w:after="57"/>
        <w:ind w:hanging="0" w:left="0"/>
        <w:rPr>
          <w:rFonts w:ascii="Verdana" w:hAnsi="Verdana"/>
        </w:rPr>
      </w:pPr>
      <w:r>
        <w:rPr>
          <w:rFonts w:ascii="Verdana" w:hAnsi="Verdana"/>
        </w:rPr>
        <w:t>19.3.4 Os danos que dela provierem para a Administração Pública</w:t>
      </w:r>
    </w:p>
    <w:p>
      <w:pPr>
        <w:pStyle w:val="Nivel2"/>
        <w:numPr>
          <w:ilvl w:val="0"/>
          <w:numId w:val="0"/>
        </w:numPr>
        <w:spacing w:before="57" w:after="57"/>
        <w:ind w:hanging="0" w:left="0"/>
        <w:rPr>
          <w:rFonts w:ascii="Verdana" w:hAnsi="Verdana"/>
        </w:rPr>
      </w:pPr>
      <w:r>
        <w:rPr>
          <w:rFonts w:ascii="Verdana" w:hAnsi="Verdana"/>
        </w:rPr>
        <w:t>19.3.5 A implantação ou o aperfeiçoamento de programa de integridade, conforme normas e orientações dos órgãos de controle.</w:t>
      </w:r>
    </w:p>
    <w:p>
      <w:pPr>
        <w:pStyle w:val="Nivel2"/>
        <w:numPr>
          <w:ilvl w:val="0"/>
          <w:numId w:val="0"/>
        </w:numPr>
        <w:spacing w:before="57" w:after="57"/>
        <w:ind w:hanging="0" w:left="0"/>
        <w:rPr>
          <w:rFonts w:ascii="Verdana" w:hAnsi="Verdana"/>
        </w:rPr>
      </w:pPr>
      <w:r>
        <w:rPr>
          <w:rFonts w:ascii="Verdana" w:hAnsi="Verdana"/>
          <w:b/>
          <w:bCs/>
        </w:rPr>
        <w:t>19.4</w:t>
      </w:r>
      <w:r>
        <w:rPr>
          <w:rFonts w:ascii="Verdana" w:hAnsi="Verdana"/>
        </w:rPr>
        <w:t xml:space="preserve">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rFonts w:ascii="Verdana" w:hAnsi="Verdana"/>
        </w:rPr>
      </w:pPr>
      <w:r>
        <w:rPr>
          <w:rFonts w:ascii="Verdana" w:hAnsi="Verdana"/>
        </w:rPr>
        <w:t xml:space="preserve">19.4.1 </w:t>
      </w:r>
      <w:bookmarkStart w:id="20" w:name="_Hlk113876035_Copia_1"/>
      <w:bookmarkStart w:id="21" w:name="_Hlk113876035"/>
      <w:r>
        <w:rPr>
          <w:rFonts w:ascii="Verdana" w:hAnsi="Verdana"/>
        </w:rPr>
        <w:t>Para as infrações previstas nos itens 18.1.1, 18.1.2 e 18.1.3, a multa será de 5% do valor do contrato licitado.</w:t>
      </w:r>
      <w:bookmarkEnd w:id="20"/>
      <w:bookmarkEnd w:id="21"/>
    </w:p>
    <w:p>
      <w:pPr>
        <w:pStyle w:val="Nivel2"/>
        <w:numPr>
          <w:ilvl w:val="0"/>
          <w:numId w:val="0"/>
        </w:numPr>
        <w:spacing w:before="57" w:after="57"/>
        <w:ind w:hanging="0" w:left="0"/>
        <w:rPr>
          <w:rFonts w:ascii="Verdana" w:hAnsi="Verdana"/>
        </w:rPr>
      </w:pPr>
      <w:r>
        <w:rPr>
          <w:rFonts w:ascii="Verdana" w:hAnsi="Verdana"/>
        </w:rPr>
        <w:t>19.4.2 Para as infrações previstas nos itens 18.1.4, 18.1.5, 18.1.6, 18.1.7 e 18.1.8, a multa será de 15% do valor do contrato licitado.</w:t>
      </w:r>
    </w:p>
    <w:p>
      <w:pPr>
        <w:pStyle w:val="Nivel2"/>
        <w:numPr>
          <w:ilvl w:val="0"/>
          <w:numId w:val="0"/>
        </w:numPr>
        <w:spacing w:before="57" w:after="57"/>
        <w:ind w:hanging="0" w:left="0"/>
        <w:rPr>
          <w:rFonts w:ascii="Verdana" w:hAnsi="Verdana"/>
        </w:rPr>
      </w:pPr>
      <w:r>
        <w:rPr>
          <w:rFonts w:ascii="Verdana" w:hAnsi="Verdana"/>
          <w:b/>
          <w:bCs/>
        </w:rPr>
        <w:t>19.5</w:t>
      </w:r>
      <w:r>
        <w:rPr>
          <w:rFonts w:ascii="Verdana" w:hAnsi="Verdana"/>
        </w:rPr>
        <w:t xml:space="preserve">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rFonts w:ascii="Verdana" w:hAnsi="Verdana"/>
        </w:rPr>
      </w:pPr>
      <w:r>
        <w:rPr>
          <w:rFonts w:ascii="Verdana" w:hAnsi="Verdana"/>
          <w:b/>
          <w:bCs/>
        </w:rPr>
        <w:t>19.6</w:t>
      </w:r>
      <w:r>
        <w:rPr>
          <w:rFonts w:ascii="Verdana" w:hAnsi="Verdana"/>
        </w:rPr>
        <w:t xml:space="preserve"> Na aplicação da sanção de multa será facultada a defesa do interessado no prazo de 15 (quinze) dias úteis, contado da data de sua intimação.</w:t>
      </w:r>
    </w:p>
    <w:p>
      <w:pPr>
        <w:pStyle w:val="Nivel2"/>
        <w:numPr>
          <w:ilvl w:val="0"/>
          <w:numId w:val="0"/>
        </w:numPr>
        <w:spacing w:before="57" w:after="57"/>
        <w:ind w:hanging="0" w:left="0"/>
        <w:rPr>
          <w:rFonts w:ascii="Verdana" w:hAnsi="Verdana"/>
        </w:rPr>
      </w:pPr>
      <w:r>
        <w:rPr>
          <w:rFonts w:ascii="Verdana" w:hAnsi="Verdana"/>
          <w:b/>
          <w:bCs/>
        </w:rPr>
        <w:t>19.7</w:t>
      </w:r>
      <w:r>
        <w:rPr>
          <w:rFonts w:ascii="Verdana" w:hAnsi="Verdana"/>
        </w:rPr>
        <w:t xml:space="preserve">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b/>
          <w:bCs/>
        </w:rPr>
        <w:t>19.8</w:t>
      </w:r>
      <w:r>
        <w:rPr>
          <w:rFonts w:ascii="Verdana" w:hAnsi="Verdana"/>
        </w:rPr>
        <w:t xml:space="preserve"> Poderá ser aplicada ao responsável a sanção de declaração de inidoneidade para licitar ou contratar, em decorrência da prática das infrações dispostas nos itens 18.1.4, 18.1.5, 18.1.6, 19.1.7 e 18.1.8, bem como pelas infrações administrativas previstas nos itens 18.1.1, 18.1.2 e 19.1.3 que justifiquem a imposição de penalidade mais grave que a sanção de impedimento de licitar e contratar, cuja duração observará o prazo previsto no </w:t>
      </w:r>
      <w:r>
        <w:fldChar w:fldCharType="begin"/>
      </w:r>
      <w:r>
        <w:rPr>
          <w:rStyle w:val="ListLabel34"/>
          <w:rFonts w:ascii="Verdana" w:hAnsi="Verdana"/>
          <w:color w:val="000000"/>
        </w:rPr>
        <w:instrText xml:space="preserve"> HYPERLINK "http://www.planalto.gov.br/ccivil_03/_ato2019-2022/2021/lei/L14133.htm" \l "art156%C2%A75"</w:instrText>
      </w:r>
      <w:r>
        <w:rPr>
          <w:rStyle w:val="ListLabel34"/>
          <w:rFonts w:ascii="Verdana" w:hAnsi="Verdana"/>
          <w:color w:val="000000"/>
        </w:rPr>
        <w:fldChar w:fldCharType="separate"/>
      </w:r>
      <w:r>
        <w:rPr>
          <w:rStyle w:val="ListLabel34"/>
          <w:rFonts w:ascii="Verdana" w:hAnsi="Verdana"/>
          <w:color w:val="000000"/>
        </w:rPr>
        <w:t>art. 156, §5º, da Lei n.º 14.133/2021</w:t>
      </w:r>
      <w:r>
        <w:rPr>
          <w:rStyle w:val="ListLabel34"/>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b/>
          <w:bCs/>
        </w:rPr>
        <w:t>19.9</w:t>
      </w:r>
      <w:r>
        <w:rPr>
          <w:rFonts w:ascii="Verdana" w:hAnsi="Verdana"/>
        </w:rPr>
        <w:t xml:space="preserve">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8">
        <w:r>
          <w:rPr>
            <w:rStyle w:val="ListLabel34"/>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rFonts w:ascii="Verdana" w:hAnsi="Verdana"/>
        </w:rPr>
      </w:pPr>
      <w:r>
        <w:rPr>
          <w:rFonts w:ascii="Verdana" w:hAnsi="Verdana"/>
          <w:b/>
          <w:bCs/>
        </w:rPr>
        <w:t>19.10</w:t>
      </w:r>
      <w:r>
        <w:rPr>
          <w:rFonts w:ascii="Verdana" w:hAnsi="Verdana"/>
        </w:rPr>
        <w:t xml:space="preserve">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rFonts w:ascii="Verdana" w:hAnsi="Verdana"/>
        </w:rPr>
      </w:pPr>
      <w:r>
        <w:rPr>
          <w:rFonts w:ascii="Verdana" w:hAnsi="Verdana"/>
          <w:b/>
          <w:bCs/>
        </w:rPr>
        <w:t>19.11</w:t>
      </w:r>
      <w:r>
        <w:rPr>
          <w:rFonts w:ascii="Verdana" w:hAnsi="Verdan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rFonts w:ascii="Verdana" w:hAnsi="Verdana"/>
        </w:rPr>
      </w:pPr>
      <w:r>
        <w:rPr>
          <w:rFonts w:ascii="Verdana" w:hAnsi="Verdana"/>
          <w:b/>
          <w:bCs/>
        </w:rPr>
        <w:t>19.12</w:t>
      </w:r>
      <w:r>
        <w:rPr>
          <w:rFonts w:ascii="Verdana" w:hAnsi="Verdana"/>
        </w:rPr>
        <w:t xml:space="preserve">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rFonts w:ascii="Verdana" w:hAnsi="Verdana"/>
        </w:rPr>
      </w:pPr>
      <w:r>
        <w:rPr>
          <w:rFonts w:cs="Arial" w:ascii="Verdana" w:hAnsi="Verdana"/>
          <w:b/>
          <w:bCs/>
          <w:shd w:fill="FFFFFF" w:val="clear"/>
        </w:rPr>
        <w:t>19.13</w:t>
      </w:r>
      <w:r>
        <w:rPr>
          <w:rFonts w:cs="Arial" w:ascii="Verdana" w:hAnsi="Verdana"/>
          <w:shd w:fill="FFFFFF" w:val="clear"/>
        </w:rPr>
        <w:t xml:space="preserve"> A aplicação das sanções previstas neste edital não exclui, em hipótese alguma, a obrigação de reparação integral dos danos causados.</w:t>
      </w:r>
    </w:p>
    <w:p>
      <w:pPr>
        <w:pStyle w:val="Nivel2"/>
        <w:numPr>
          <w:ilvl w:val="0"/>
          <w:numId w:val="0"/>
        </w:numPr>
        <w:spacing w:before="57" w:after="57"/>
        <w:ind w:hanging="0" w:left="0"/>
        <w:rPr>
          <w:rFonts w:ascii="Verdana" w:hAnsi="Verdana"/>
        </w:rPr>
      </w:pPr>
      <w:r>
        <w:rPr>
          <w:rFonts w:ascii="Verdana" w:hAnsi="Verdana"/>
        </w:rPr>
      </w:r>
    </w:p>
    <w:p>
      <w:pPr>
        <w:pStyle w:val="Nivel01"/>
        <w:spacing w:lineRule="auto" w:line="276" w:before="57" w:after="57"/>
        <w:rPr>
          <w:rFonts w:ascii="Verdana" w:hAnsi="Verdana"/>
        </w:rPr>
      </w:pPr>
      <w:r>
        <w:rPr>
          <w:rFonts w:cs="Arial" w:ascii="Verdana" w:hAnsi="Verdana"/>
        </w:rPr>
        <w:t>20. DA IMPUGNAÇÃO AO EDITAL E DO PEDIDO DE ESCLARECIMENTO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20.1</w:t>
      </w:r>
      <w:r>
        <w:rPr>
          <w:rFonts w:cs="Arial" w:ascii="Verdana" w:hAnsi="Verdana"/>
          <w:sz w:val="20"/>
          <w:szCs w:val="20"/>
        </w:rPr>
        <w:t xml:space="preserve">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b/>
          <w:bCs/>
          <w:color w:val="000000"/>
          <w:sz w:val="20"/>
          <w:szCs w:val="20"/>
        </w:rPr>
        <w:t>20.2</w:t>
      </w:r>
      <w:r>
        <w:rPr>
          <w:rFonts w:cs="Arial" w:ascii="Verdana" w:hAnsi="Verdana"/>
          <w:color w:val="000000"/>
          <w:sz w:val="20"/>
          <w:szCs w:val="20"/>
        </w:rPr>
        <w:t xml:space="preserve"> A impugnação poderá ser realizada por forma eletrônica, pelo e-mail </w:t>
      </w:r>
      <w:hyperlink r:id="rId9">
        <w:r>
          <w:rPr>
            <w:rStyle w:val="ListLabel35"/>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20.3</w:t>
      </w:r>
      <w:r>
        <w:rPr>
          <w:rFonts w:cs="Arial" w:ascii="Verdana" w:hAnsi="Verdana"/>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20.4</w:t>
      </w:r>
      <w:r>
        <w:rPr>
          <w:rFonts w:cs="Arial" w:ascii="Verdana" w:hAnsi="Verdana"/>
          <w:color w:val="000000"/>
          <w:sz w:val="20"/>
          <w:szCs w:val="20"/>
        </w:rPr>
        <w:t xml:space="preserve"> Acolhida a impugnação, será definida e publicada nova data para a realização do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20.5</w:t>
      </w:r>
      <w:r>
        <w:rPr>
          <w:rFonts w:cs="Arial" w:ascii="Verdana" w:hAnsi="Verdana"/>
          <w:color w:val="000000"/>
          <w:sz w:val="20"/>
          <w:szCs w:val="20"/>
        </w:rPr>
        <w:t xml:space="preserve">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20.6</w:t>
      </w:r>
      <w:r>
        <w:rPr>
          <w:rFonts w:cs="Arial" w:ascii="Verdana" w:hAnsi="Verdana"/>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20.7</w:t>
      </w:r>
      <w:r>
        <w:rPr>
          <w:rFonts w:cs="Arial" w:ascii="Verdana" w:hAnsi="Verdana"/>
          <w:color w:val="000000"/>
          <w:sz w:val="20"/>
          <w:szCs w:val="20"/>
        </w:rPr>
        <w:t xml:space="preserve"> As impugnações e pedidos de esclarecimentos não suspendem os prazos previstos no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20.8</w:t>
      </w:r>
      <w:r>
        <w:rPr>
          <w:rFonts w:cs="Arial" w:ascii="Verdana" w:hAnsi="Verdana"/>
          <w:color w:val="000000"/>
          <w:sz w:val="20"/>
          <w:szCs w:val="20"/>
        </w:rPr>
        <w:t xml:space="preserve">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20.9</w:t>
      </w:r>
      <w:r>
        <w:rPr>
          <w:rFonts w:cs="Arial" w:ascii="Verdana" w:hAnsi="Verdana"/>
          <w:color w:val="000000"/>
          <w:sz w:val="20"/>
          <w:szCs w:val="20"/>
        </w:rPr>
        <w:t xml:space="preserve">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21. DAS DISPOSIÇÕES GERAIS</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21.1</w:t>
      </w:r>
      <w:r>
        <w:rPr>
          <w:rFonts w:cs="Arial" w:ascii="Verdana" w:hAnsi="Verdana"/>
          <w:color w:val="000000"/>
          <w:sz w:val="20"/>
          <w:szCs w:val="20"/>
        </w:rPr>
        <w:t xml:space="preserve">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21.2</w:t>
      </w:r>
      <w:r>
        <w:rPr>
          <w:rFonts w:cs="Arial" w:ascii="Verdana" w:hAnsi="Verdana"/>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21.3</w:t>
      </w:r>
      <w:r>
        <w:rPr>
          <w:rFonts w:cs="Arial" w:ascii="Verdana" w:hAnsi="Verdana"/>
          <w:color w:val="000000"/>
          <w:sz w:val="20"/>
          <w:szCs w:val="20"/>
        </w:rPr>
        <w:t xml:space="preserve">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21.4</w:t>
      </w:r>
      <w:r>
        <w:rPr>
          <w:rFonts w:cs="Arial" w:ascii="Verdana" w:hAnsi="Verdana"/>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21.5</w:t>
      </w:r>
      <w:r>
        <w:rPr>
          <w:rFonts w:cs="Arial" w:ascii="Verdana" w:hAnsi="Verdana"/>
          <w:color w:val="000000"/>
          <w:sz w:val="20"/>
          <w:szCs w:val="20"/>
        </w:rPr>
        <w:t xml:space="preserve">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21.6</w:t>
      </w:r>
      <w:r>
        <w:rPr>
          <w:rFonts w:cs="Arial" w:ascii="Verdana" w:hAnsi="Verdana"/>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21.7</w:t>
      </w:r>
      <w:r>
        <w:rPr>
          <w:rFonts w:cs="Arial" w:ascii="Verdana" w:hAnsi="Verdana"/>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21.8</w:t>
      </w:r>
      <w:r>
        <w:rPr>
          <w:rFonts w:cs="Arial" w:ascii="Verdana" w:hAnsi="Verdana"/>
          <w:color w:val="000000"/>
          <w:sz w:val="20"/>
          <w:szCs w:val="20"/>
        </w:rPr>
        <w:t xml:space="preserve">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21.9</w:t>
      </w:r>
      <w:r>
        <w:rPr>
          <w:rFonts w:cs="Arial" w:ascii="Verdana" w:hAnsi="Verdana"/>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21.10</w:t>
      </w:r>
      <w:r>
        <w:rPr>
          <w:rFonts w:cs="Arial" w:ascii="Verdana" w:hAnsi="Verdana"/>
          <w:color w:val="000000"/>
          <w:sz w:val="20"/>
          <w:szCs w:val="20"/>
        </w:rPr>
        <w:t xml:space="preserve">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b/>
          <w:bCs/>
          <w:color w:val="000000"/>
          <w:sz w:val="20"/>
          <w:szCs w:val="20"/>
        </w:rPr>
        <w:t>21.11</w:t>
      </w:r>
      <w:r>
        <w:rPr>
          <w:rFonts w:cs="Arial" w:ascii="Verdana" w:hAnsi="Verdana"/>
          <w:color w:val="000000"/>
          <w:sz w:val="20"/>
          <w:szCs w:val="20"/>
        </w:rPr>
        <w:t xml:space="preserve">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31"/>
            <w:rFonts w:ascii="Verdana" w:hAnsi="Verdana"/>
            <w:color w:val="000080"/>
            <w:sz w:val="20"/>
            <w:szCs w:val="20"/>
            <w:u w:val="single"/>
          </w:rPr>
          <w:t>licitacao@</w:t>
        </w:r>
      </w:hyperlink>
      <w:hyperlink r:id="rId11">
        <w:r>
          <w:rPr>
            <w:rStyle w:val="ListLabel31"/>
            <w:rFonts w:ascii="Verdana" w:hAnsi="Verdana"/>
            <w:color w:val="000080"/>
            <w:sz w:val="20"/>
            <w:szCs w:val="20"/>
            <w:u w:val="single"/>
          </w:rPr>
          <w:t>saogabriel</w:t>
        </w:r>
      </w:hyperlink>
      <w:hyperlink r:id="rId12">
        <w:r>
          <w:rPr>
            <w:rStyle w:val="ListLabel31"/>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21.12</w:t>
      </w:r>
      <w:r>
        <w:rPr>
          <w:rFonts w:cs="Arial" w:ascii="Verdana" w:hAnsi="Verdana"/>
          <w:color w:val="000000"/>
          <w:sz w:val="20"/>
          <w:szCs w:val="20"/>
        </w:rPr>
        <w:t xml:space="preserve"> Integram este Edital, para todos os fins e efeitos, os seguintes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21.12.1 ANEXO 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21.12.2 ANEXO I-1 – Estudo Técnico Preliminar;</w:t>
      </w:r>
    </w:p>
    <w:p>
      <w:pPr>
        <w:pStyle w:val="Normal"/>
        <w:spacing w:lineRule="auto" w:line="276" w:before="57" w:after="57"/>
        <w:jc w:val="both"/>
        <w:rPr>
          <w:rFonts w:ascii="Verdana" w:hAnsi="Verdana"/>
          <w:sz w:val="20"/>
          <w:szCs w:val="20"/>
        </w:rPr>
      </w:pPr>
      <w:r>
        <w:rPr>
          <w:rFonts w:cs="Arial" w:ascii="Verdana" w:hAnsi="Verdana"/>
          <w:color w:val="000000"/>
          <w:sz w:val="20"/>
          <w:szCs w:val="20"/>
        </w:rPr>
        <w:t>21.12.3 ANEXO II – Modelo Orientativo de Proposta</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21.12.3 ANEXO III – Minuta de Contrato.</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cs="Arial" w:ascii="Verdana" w:hAnsi="Verdana"/>
          <w:color w:val="000000"/>
          <w:sz w:val="20"/>
          <w:szCs w:val="20"/>
        </w:rPr>
        <w:t>São Gabriel da Palha/ES, 25 de agosto de 2025.</w:t>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1179" w:gutter="0" w:header="517" w:top="1767" w:footer="340" w:bottom="83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Fontepargpadro1" w:customStyle="1">
    <w:name w:val="Fonte parág. padrão1"/>
    <w:qForma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2"/>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3137</TotalTime>
  <Application>LibreOffice/24.2.6.2$Windows_X86_64 LibreOffice_project/ef66aa7e36a1bb8e65bfbc63aba53045a14d0871</Application>
  <AppVersion>15.0000</AppVersion>
  <Pages>19</Pages>
  <Words>8829</Words>
  <Characters>50115</Characters>
  <CharactersWithSpaces>58670</CharactersWithSpaces>
  <Paragraphs>333</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2024-07-31T14:08:00Z</cp:lastPrinted>
  <dcterms:modified xsi:type="dcterms:W3CDTF">2025-09-03T16:43:21Z</dcterms:modified>
  <cp:revision>170</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